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D07" w:rsidRDefault="009B5D07" w:rsidP="00040C86">
      <w:pPr>
        <w:autoSpaceDN w:val="0"/>
        <w:jc w:val="center"/>
        <w:rPr>
          <w:rFonts w:ascii="微软雅黑" w:eastAsia="宋体" w:hAnsi="宋体" w:cs="Times New Roman"/>
          <w:b/>
          <w:color w:val="333333"/>
          <w:sz w:val="36"/>
          <w:szCs w:val="20"/>
        </w:rPr>
      </w:pPr>
      <w:r w:rsidRPr="00D857E0">
        <w:rPr>
          <w:rFonts w:ascii="微软雅黑" w:eastAsia="宋体" w:hAnsi="宋体" w:cs="Times New Roman"/>
          <w:b/>
          <w:color w:val="333333"/>
          <w:sz w:val="36"/>
          <w:szCs w:val="20"/>
        </w:rPr>
        <w:t>最高人民法院发布第</w:t>
      </w:r>
      <w:r>
        <w:rPr>
          <w:rFonts w:ascii="微软雅黑" w:eastAsia="宋体" w:hAnsi="宋体" w:cs="Times New Roman" w:hint="eastAsia"/>
          <w:b/>
          <w:color w:val="333333"/>
          <w:sz w:val="36"/>
          <w:szCs w:val="20"/>
        </w:rPr>
        <w:t>十一</w:t>
      </w:r>
      <w:r w:rsidRPr="00D857E0">
        <w:rPr>
          <w:rFonts w:ascii="微软雅黑" w:eastAsia="宋体" w:hAnsi="宋体" w:cs="Times New Roman"/>
          <w:b/>
          <w:color w:val="333333"/>
          <w:sz w:val="36"/>
          <w:szCs w:val="20"/>
        </w:rPr>
        <w:t>批指导性案例法</w:t>
      </w:r>
    </w:p>
    <w:p w:rsidR="009B5D07" w:rsidRPr="00D857E0" w:rsidRDefault="009B5D07" w:rsidP="00040C86">
      <w:pPr>
        <w:autoSpaceDN w:val="0"/>
        <w:jc w:val="center"/>
        <w:rPr>
          <w:rFonts w:ascii="微软雅黑" w:eastAsia="宋体" w:hAnsi="宋体" w:cs="Times New Roman"/>
          <w:b/>
          <w:color w:val="333333"/>
          <w:sz w:val="36"/>
          <w:szCs w:val="20"/>
        </w:rPr>
      </w:pPr>
      <w:r>
        <w:rPr>
          <w:rFonts w:ascii="微软雅黑" w:eastAsia="宋体" w:hAnsi="宋体" w:cs="Times New Roman" w:hint="eastAsia"/>
          <w:b/>
          <w:color w:val="333333"/>
          <w:sz w:val="36"/>
          <w:szCs w:val="20"/>
        </w:rPr>
        <w:t>(</w:t>
      </w:r>
      <w:r>
        <w:rPr>
          <w:rFonts w:ascii="微软雅黑" w:eastAsia="宋体" w:hAnsi="宋体" w:cs="Times New Roman"/>
          <w:b/>
          <w:color w:val="333333"/>
          <w:sz w:val="36"/>
          <w:szCs w:val="20"/>
        </w:rPr>
        <w:t>53-56</w:t>
      </w:r>
      <w:r>
        <w:rPr>
          <w:rFonts w:ascii="微软雅黑" w:eastAsia="宋体" w:hAnsi="宋体" w:cs="Times New Roman" w:hint="eastAsia"/>
          <w:b/>
          <w:color w:val="333333"/>
          <w:sz w:val="36"/>
          <w:szCs w:val="20"/>
        </w:rPr>
        <w:t>号</w:t>
      </w:r>
      <w:r>
        <w:rPr>
          <w:rFonts w:ascii="微软雅黑" w:eastAsia="宋体" w:hAnsi="宋体" w:cs="Times New Roman" w:hint="eastAsia"/>
          <w:b/>
          <w:color w:val="333333"/>
          <w:sz w:val="36"/>
          <w:szCs w:val="20"/>
        </w:rPr>
        <w:t>)</w:t>
      </w:r>
    </w:p>
    <w:p w:rsidR="00947BCB" w:rsidRPr="00875728" w:rsidRDefault="00947BCB" w:rsidP="00621D4F">
      <w:pPr>
        <w:widowControl/>
        <w:spacing w:beforeLines="50" w:before="156" w:afterLines="50" w:after="156" w:line="560" w:lineRule="exact"/>
        <w:ind w:firstLineChars="150" w:firstLine="422"/>
        <w:rPr>
          <w:rFonts w:ascii="黑体" w:eastAsia="黑体" w:hAnsi="黑体" w:cs="宋体"/>
          <w:b/>
          <w:color w:val="2B2B2B"/>
          <w:kern w:val="0"/>
          <w:sz w:val="28"/>
          <w:szCs w:val="28"/>
        </w:rPr>
      </w:pPr>
      <w:r w:rsidRPr="00875728">
        <w:rPr>
          <w:rFonts w:ascii="黑体" w:eastAsia="黑体" w:hAnsi="黑体" w:cs="宋体"/>
          <w:b/>
          <w:bCs/>
          <w:color w:val="2B2B2B"/>
          <w:kern w:val="0"/>
          <w:sz w:val="28"/>
          <w:szCs w:val="28"/>
        </w:rPr>
        <w:t>指导案例53号</w:t>
      </w:r>
      <w:r w:rsidRPr="00875728">
        <w:rPr>
          <w:rFonts w:ascii="黑体" w:eastAsia="黑体" w:hAnsi="黑体" w:cs="宋体"/>
          <w:b/>
          <w:color w:val="2B2B2B"/>
          <w:kern w:val="0"/>
          <w:sz w:val="28"/>
          <w:szCs w:val="28"/>
        </w:rPr>
        <w:t xml:space="preserve"> </w:t>
      </w:r>
    </w:p>
    <w:p w:rsidR="00947BCB" w:rsidRPr="009B5D07" w:rsidRDefault="00947BCB" w:rsidP="00875728">
      <w:pPr>
        <w:widowControl/>
        <w:spacing w:beforeLines="50" w:before="156" w:afterLines="50" w:after="156" w:line="560" w:lineRule="exact"/>
        <w:ind w:firstLineChars="150" w:firstLine="420"/>
        <w:jc w:val="center"/>
        <w:rPr>
          <w:rFonts w:ascii="仿宋" w:eastAsia="仿宋" w:hAnsi="仿宋" w:cs="宋体"/>
          <w:b/>
          <w:color w:val="2B2B2B"/>
          <w:kern w:val="0"/>
          <w:sz w:val="28"/>
          <w:szCs w:val="28"/>
        </w:rPr>
      </w:pPr>
      <w:r w:rsidRPr="009B5D07">
        <w:rPr>
          <w:rFonts w:ascii="仿宋" w:eastAsia="仿宋" w:hAnsi="仿宋" w:cs="宋体"/>
          <w:bCs/>
          <w:color w:val="2B2B2B"/>
          <w:kern w:val="0"/>
          <w:sz w:val="28"/>
          <w:szCs w:val="28"/>
        </w:rPr>
        <w:t>福建海峡银行股份有限公司福州五一支行诉 长乐亚新污水处理有限公司、福州市政工程有限公司金融借款合同纠纷案</w:t>
      </w:r>
    </w:p>
    <w:p w:rsidR="00947BCB" w:rsidRPr="009B5D07" w:rsidRDefault="00947BCB" w:rsidP="00875728">
      <w:pPr>
        <w:widowControl/>
        <w:spacing w:beforeLines="50" w:before="156" w:afterLines="50" w:after="156" w:line="560" w:lineRule="exact"/>
        <w:ind w:firstLineChars="150" w:firstLine="420"/>
        <w:jc w:val="center"/>
        <w:rPr>
          <w:rFonts w:ascii="仿宋" w:eastAsia="仿宋" w:hAnsi="仿宋" w:cs="宋体"/>
          <w:b/>
          <w:color w:val="2B2B2B"/>
          <w:kern w:val="0"/>
          <w:sz w:val="28"/>
          <w:szCs w:val="28"/>
        </w:rPr>
      </w:pPr>
      <w:r w:rsidRPr="009B5D07">
        <w:rPr>
          <w:rFonts w:ascii="仿宋" w:eastAsia="仿宋" w:hAnsi="仿宋" w:cs="宋体"/>
          <w:bCs/>
          <w:color w:val="2B2B2B"/>
          <w:kern w:val="0"/>
          <w:sz w:val="28"/>
          <w:szCs w:val="28"/>
        </w:rPr>
        <w:t>（最高人民法院审判委员会讨论通过 2015年11月19日发布）</w:t>
      </w:r>
    </w:p>
    <w:p w:rsidR="00947BCB" w:rsidRPr="009B5D07" w:rsidRDefault="00947BCB" w:rsidP="00D84DB2">
      <w:pPr>
        <w:widowControl/>
        <w:spacing w:beforeLines="50" w:before="156" w:afterLines="50" w:after="156" w:line="560" w:lineRule="exact"/>
        <w:jc w:val="left"/>
        <w:rPr>
          <w:rFonts w:ascii="仿宋" w:eastAsia="仿宋" w:hAnsi="仿宋" w:cs="宋体"/>
          <w:b/>
          <w:color w:val="2B2B2B"/>
          <w:kern w:val="0"/>
          <w:sz w:val="28"/>
          <w:szCs w:val="28"/>
        </w:rPr>
      </w:pPr>
      <w:r w:rsidRPr="009B5D07">
        <w:rPr>
          <w:rFonts w:ascii="仿宋" w:eastAsia="仿宋" w:hAnsi="仿宋" w:cs="宋体"/>
          <w:bCs/>
          <w:color w:val="2B2B2B"/>
          <w:kern w:val="0"/>
          <w:sz w:val="28"/>
          <w:szCs w:val="28"/>
        </w:rPr>
        <w:t>关键词</w:t>
      </w:r>
      <w:r w:rsidRPr="009B5D07">
        <w:rPr>
          <w:rFonts w:ascii="仿宋" w:eastAsia="仿宋" w:hAnsi="仿宋" w:cs="宋体"/>
          <w:b/>
          <w:color w:val="2B2B2B"/>
          <w:kern w:val="0"/>
          <w:sz w:val="28"/>
          <w:szCs w:val="28"/>
        </w:rPr>
        <w:t xml:space="preserve"> </w:t>
      </w:r>
    </w:p>
    <w:p w:rsidR="00947BCB" w:rsidRPr="00040C86" w:rsidRDefault="00947BCB" w:rsidP="00875728">
      <w:pPr>
        <w:widowControl/>
        <w:spacing w:beforeLines="50" w:before="156" w:afterLines="50" w:after="156" w:line="560" w:lineRule="exact"/>
        <w:ind w:firstLineChars="50" w:firstLine="140"/>
        <w:jc w:val="left"/>
        <w:rPr>
          <w:rFonts w:ascii="仿宋" w:eastAsia="仿宋" w:hAnsi="仿宋" w:cs="宋体"/>
          <w:color w:val="2B2B2B"/>
          <w:kern w:val="0"/>
          <w:sz w:val="28"/>
          <w:szCs w:val="28"/>
        </w:rPr>
      </w:pPr>
      <w:r w:rsidRPr="00040C86">
        <w:rPr>
          <w:rFonts w:ascii="仿宋" w:eastAsia="仿宋" w:hAnsi="仿宋" w:cs="宋体"/>
          <w:color w:val="2B2B2B"/>
          <w:kern w:val="0"/>
          <w:sz w:val="28"/>
          <w:szCs w:val="28"/>
        </w:rPr>
        <w:t xml:space="preserve">民事/金融借款合同/收益权质押/出质登记/质权实现 </w:t>
      </w:r>
    </w:p>
    <w:p w:rsidR="00947BCB" w:rsidRPr="00040C86" w:rsidRDefault="00947BCB" w:rsidP="00D84DB2">
      <w:pPr>
        <w:widowControl/>
        <w:spacing w:beforeLines="50" w:before="156" w:afterLines="50" w:after="156" w:line="560" w:lineRule="exact"/>
        <w:jc w:val="left"/>
        <w:rPr>
          <w:rFonts w:ascii="仿宋" w:eastAsia="仿宋" w:hAnsi="仿宋" w:cs="宋体"/>
          <w:color w:val="2B2B2B"/>
          <w:kern w:val="0"/>
          <w:sz w:val="28"/>
          <w:szCs w:val="28"/>
        </w:rPr>
      </w:pPr>
      <w:r w:rsidRPr="00040C86">
        <w:rPr>
          <w:rFonts w:ascii="仿宋" w:eastAsia="仿宋" w:hAnsi="仿宋" w:cs="宋体"/>
          <w:bCs/>
          <w:color w:val="2B2B2B"/>
          <w:kern w:val="0"/>
          <w:sz w:val="28"/>
          <w:szCs w:val="28"/>
        </w:rPr>
        <w:t>裁判要点</w:t>
      </w:r>
      <w:r w:rsidRPr="00040C86">
        <w:rPr>
          <w:rFonts w:ascii="仿宋" w:eastAsia="仿宋" w:hAnsi="仿宋" w:cs="宋体"/>
          <w:color w:val="2B2B2B"/>
          <w:kern w:val="0"/>
          <w:sz w:val="28"/>
          <w:szCs w:val="28"/>
        </w:rPr>
        <w:t xml:space="preserve">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1.特许经营权的收益权可以质押，并可作为应收账款进行出质登记。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2.特许经营权的收益权依其性质不宜折价、拍卖或变卖，质权人主张优先受偿权的，人民法院可以判令出质债权的债务人将收益权的应收账款优先支付质权人。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b/>
          <w:color w:val="2B2B2B"/>
          <w:kern w:val="0"/>
          <w:sz w:val="28"/>
          <w:szCs w:val="28"/>
        </w:rPr>
      </w:pPr>
      <w:r w:rsidRPr="009B5D07">
        <w:rPr>
          <w:rFonts w:ascii="仿宋" w:eastAsia="仿宋" w:hAnsi="仿宋" w:cs="宋体"/>
          <w:bCs/>
          <w:color w:val="2B2B2B"/>
          <w:kern w:val="0"/>
          <w:sz w:val="28"/>
          <w:szCs w:val="28"/>
        </w:rPr>
        <w:t>相关法条</w:t>
      </w:r>
      <w:r w:rsidRPr="009B5D07">
        <w:rPr>
          <w:rFonts w:ascii="仿宋" w:eastAsia="仿宋" w:hAnsi="仿宋" w:cs="宋体"/>
          <w:b/>
          <w:color w:val="2B2B2B"/>
          <w:kern w:val="0"/>
          <w:sz w:val="28"/>
          <w:szCs w:val="28"/>
        </w:rPr>
        <w:t xml:space="preserve">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《中华人民共和国物权法》第208条、第223条、第228条第1款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b/>
          <w:color w:val="2B2B2B"/>
          <w:kern w:val="0"/>
          <w:sz w:val="28"/>
          <w:szCs w:val="28"/>
        </w:rPr>
      </w:pPr>
      <w:r w:rsidRPr="009B5D07">
        <w:rPr>
          <w:rFonts w:ascii="仿宋" w:eastAsia="仿宋" w:hAnsi="仿宋" w:cs="宋体"/>
          <w:bCs/>
          <w:color w:val="2B2B2B"/>
          <w:kern w:val="0"/>
          <w:sz w:val="28"/>
          <w:szCs w:val="28"/>
        </w:rPr>
        <w:t>基本案情</w:t>
      </w:r>
      <w:r w:rsidRPr="009B5D07">
        <w:rPr>
          <w:rFonts w:ascii="仿宋" w:eastAsia="仿宋" w:hAnsi="仿宋" w:cs="宋体"/>
          <w:b/>
          <w:color w:val="2B2B2B"/>
          <w:kern w:val="0"/>
          <w:sz w:val="28"/>
          <w:szCs w:val="28"/>
        </w:rPr>
        <w:t xml:space="preserve">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原告福建海峡银行股份有限公司福州五一支行（以下简称海峡银行五一支行）诉称：原告与被告长乐亚新污水处理有限公司（以下简称长乐亚新公司）签订单位借款合同后向被告贷款3000万元。被告福州市政工程有限公司（以下简称福州市政公司）为上述借款提供连带责任保证。原告海峡银行五一支行、被告长乐亚新公司、福州市政公司、案外人长乐市建设局四方签订了《特许经</w:t>
      </w:r>
      <w:r w:rsidRPr="009B5D07">
        <w:rPr>
          <w:rFonts w:ascii="仿宋" w:eastAsia="仿宋" w:hAnsi="仿宋" w:cs="宋体"/>
          <w:color w:val="2B2B2B"/>
          <w:kern w:val="0"/>
          <w:sz w:val="28"/>
          <w:szCs w:val="28"/>
        </w:rPr>
        <w:lastRenderedPageBreak/>
        <w:t xml:space="preserve">营权质押担保协议》，福州市政公司以长乐市污水处理项目的特许经营权提供质押担保。因长乐亚新公司未能按期偿还贷款本金和利息，故诉请法院判令：长乐亚新公司偿还原告借款本金和利息；确认《特许经营权质押担保协议》合法有效，拍卖、变卖该协议项下的质物，原告有优先受偿权；将长乐市建设局支付给两被告的污水处理服务费优先用于清偿应偿还原告的所有款项；福州市政公司承担连带清偿责任。 </w:t>
      </w:r>
    </w:p>
    <w:p w:rsidR="00947BCB" w:rsidRPr="009B5D07" w:rsidRDefault="00947BCB" w:rsidP="00D84DB2">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被告长乐亚新公司和福州市政公司辩称：长乐市城区污水处理厂特许经营权，并非法定的可以质押的权利，且该特许经营权并未办理质押登记，故原告诉请拍卖、变卖长乐市城区污水处理厂特许经营权，于法无据。 </w:t>
      </w:r>
    </w:p>
    <w:p w:rsidR="00947BCB" w:rsidRPr="009B5D07" w:rsidRDefault="00947BCB" w:rsidP="00D84DB2">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法院经审理查明：2003年，长乐市建设局为让与方、福州市政公司为受让方、长乐市财政局为见证方，三方签订《长乐市城区污水处理厂特许建设经营合同》，约定：长乐市建设局授予福州市政公司负责投资、建设、运营和维护长乐市城区污水处理厂项目及其附属设施的特许权，并就合同双方权利义务进行了详细约定。2004年10月22日，长乐亚新公司成立。该公司系福州市政公司为履行《长乐市城区污水处理厂特许建设经营合同》而设立的项目公司。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2005年3月24日，福州市商业银行五一支行与长乐亚新公司签订《单位借款合同》，约定：长乐亚新公司向福州市商业银行五一支行借款3000万元；借款用途为长乐市城区污水处理厂BOT项目；借款期限为13年，自2005年3月25日至2018年3月25日；还就利息及逾期罚息的计算方式作了明确约定。福州市政公司为长乐亚新公司的上述借款承担连带责任保证。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同日，福州市商业银行五一支行与长乐亚新公司、福州市政公司、长乐市建设局共同签订《特许经营权质押担保协议》，约定：福州市政公司以《长乐市城区污水处理厂特许建设经营协议》授予的特许经营权为长乐亚新公</w:t>
      </w:r>
      <w:r w:rsidRPr="009B5D07">
        <w:rPr>
          <w:rFonts w:ascii="仿宋" w:eastAsia="仿宋" w:hAnsi="仿宋" w:cs="宋体"/>
          <w:color w:val="2B2B2B"/>
          <w:kern w:val="0"/>
          <w:sz w:val="28"/>
          <w:szCs w:val="28"/>
        </w:rPr>
        <w:lastRenderedPageBreak/>
        <w:t xml:space="preserve">司向福州市商业银行五一支行的借款提供质押担保，长乐市建设局同意该担保；福州市政公司同意将特许经营权收益优先用于清偿借款合同项下的长乐亚新公司的债务，长乐市建设局和福州市政公司同意将污水处理费优先用于清偿借款合同项下的长乐亚新公司的债务；福州市商业银行五一支行未受清偿的，有权依法通过拍卖等方式实现质押权利等。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上述合同签订后，福州市商业银行五一支行依约向长乐亚新公司发放贷款3000万元。长乐亚新公司于2007年10月21日起未依约按期足额还本付息。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另查明，福州市商业银行五一支行于2007年4月28日名称变更为福州市商业银行股份有限公司五一支行；2009年12月1日其名称再次变更为福建海峡银行股份有限公司五一支行。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w:t>
      </w:r>
      <w:r w:rsidRPr="009B5D07">
        <w:rPr>
          <w:rFonts w:ascii="仿宋" w:eastAsia="仿宋" w:hAnsi="仿宋" w:cs="宋体"/>
          <w:bCs/>
          <w:color w:val="2B2B2B"/>
          <w:kern w:val="0"/>
          <w:sz w:val="28"/>
          <w:szCs w:val="28"/>
        </w:rPr>
        <w:t>裁判结果</w:t>
      </w:r>
      <w:r w:rsidRPr="009B5D07">
        <w:rPr>
          <w:rFonts w:ascii="仿宋" w:eastAsia="仿宋" w:hAnsi="仿宋" w:cs="宋体"/>
          <w:color w:val="2B2B2B"/>
          <w:kern w:val="0"/>
          <w:sz w:val="28"/>
          <w:szCs w:val="28"/>
        </w:rPr>
        <w:t xml:space="preserve">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福建省福州市中级人民法院于2013年5月16日作出（2012）榕民初字第661号民事判决：一、长乐亚新污水处理有限公司应于本判决生效之日起十日内向福建海峡银行股份有限公司福州五一支行偿还借款本金28714764.43元及利息（暂计至2012年8月21日为2142597.6元，此后利息按《单位借款合同》的约定计至借款本息还清之日止）；二、长乐亚新污水处理有限公司应于本判决生效之日起十日内向福建海峡银行股份有限公司福州五一支行支付律师代理费人民币123640元；三、福建海峡银行股份有限公司福州五一支行于本判决生效之日起有权直接向长乐市建设局收取应由长乐市建设局支付给长乐亚新污水处理有限公司、福州市政工程有限公司的污水处理服务费，并对该污水处理服务费就本判决第一、二项所确定的债务行使优先受偿权；四、福州市政工程有限公司对本判决第一、二项确定的债务承担连带清偿责任；五、驳回福</w:t>
      </w:r>
      <w:r w:rsidRPr="009B5D07">
        <w:rPr>
          <w:rFonts w:ascii="仿宋" w:eastAsia="仿宋" w:hAnsi="仿宋" w:cs="宋体"/>
          <w:color w:val="2B2B2B"/>
          <w:kern w:val="0"/>
          <w:sz w:val="28"/>
          <w:szCs w:val="28"/>
        </w:rPr>
        <w:lastRenderedPageBreak/>
        <w:t xml:space="preserve">建海峡银行股份有限公司福州五一支行的其他诉讼请求。宣判后，两被告均提起上诉。福建省高级人民法院于2013年9月17日作出福建省高级人民法院（2013）闽民终字第870号民事判决，驳回上诉，维持原判。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w:t>
      </w:r>
      <w:r w:rsidRPr="009B5D07">
        <w:rPr>
          <w:rFonts w:ascii="仿宋" w:eastAsia="仿宋" w:hAnsi="仿宋" w:cs="宋体"/>
          <w:bCs/>
          <w:color w:val="2B2B2B"/>
          <w:kern w:val="0"/>
          <w:sz w:val="28"/>
          <w:szCs w:val="28"/>
        </w:rPr>
        <w:t>裁判理由</w:t>
      </w:r>
      <w:r w:rsidRPr="009B5D07">
        <w:rPr>
          <w:rFonts w:ascii="仿宋" w:eastAsia="仿宋" w:hAnsi="仿宋" w:cs="宋体"/>
          <w:color w:val="2B2B2B"/>
          <w:kern w:val="0"/>
          <w:sz w:val="28"/>
          <w:szCs w:val="28"/>
        </w:rPr>
        <w:t xml:space="preserve">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法院生效裁判认为：被告长乐亚新公司未依约偿还原告借款本金及利息，已构成违约，应向原告偿还借款本金，并支付利息及实现债权的费用。福州市政公司作为连带责任保证人，应对讼争债务承担连带清偿责任。本案争议焦点主要涉及污水处理项目特许经营权质押是否有效以及该质权如何实现问题。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w:t>
      </w:r>
      <w:r w:rsidRPr="009B5D07">
        <w:rPr>
          <w:rFonts w:ascii="仿宋" w:eastAsia="仿宋" w:hAnsi="仿宋" w:cs="宋体"/>
          <w:bCs/>
          <w:color w:val="2B2B2B"/>
          <w:kern w:val="0"/>
          <w:sz w:val="28"/>
          <w:szCs w:val="28"/>
        </w:rPr>
        <w:t>一、关于污水处理项目特许经营权能否出质问题</w:t>
      </w:r>
      <w:r w:rsidRPr="009B5D07">
        <w:rPr>
          <w:rFonts w:ascii="仿宋" w:eastAsia="仿宋" w:hAnsi="仿宋" w:cs="宋体"/>
          <w:color w:val="2B2B2B"/>
          <w:kern w:val="0"/>
          <w:sz w:val="28"/>
          <w:szCs w:val="28"/>
        </w:rPr>
        <w:t xml:space="preserve">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污水处理项目特许经营权是对污水处理厂进行运营和维护，并获得相应收益的权利。污水处理厂的运营和维护，属于经营者的义务，而其收益权，则属于经营者的权利。由于对污水处理厂的运营和维护，并不属于可转让的财产权利，故讼争的污水处理项目特许经营权质押，实质上系污水处理项目收益权的质押。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关于污水处理项目等特许经营的收益权能否出质问题，应当考虑以下方面：其一，本案讼争污水处理项目《特许经营权质押担保协议》签订于2005年，尽管当时法律、行政法规及相关司法解释并未规定污水处理项目收益权可质押，但污水处理项目收益权与公路收益权性质上相类似。《最高人民法院关于适用〈中华人民共和国担保法〉若干问题的解释》第九十七条规定，“以公路桥梁、公路隧道或者公路渡口等不动产收益权出质的，按照担保法第七十五条第（四）项的规定处理”，明确公路收益权属于依法可质押的其他权利，与其类似的污水处理收益权亦应允许出质。其二，国务院办公厅2001年9月29日转发的《国务院西部开发办〈关于西部大开发若干政策措施的实施意见〉》（国办发〔2001〕73号）中提出，“对具有一定还贷能力的水利开发项目和城市环保项目（如城市污水处理和垃圾处理等），探索逐步开办以项目收益权或收费权为质押发放贷款的业务”，首次明确可试行将污水处理项目的收益权进行质押。其三，污水处理项目收益权虽系将来金钱债权，但其行使期间及收益金额均可确定，其属于确定的财产权利。其四，在《中华人民共和国物权法》（以下简称《物权法》）颁布实施后，因污水处理项目收益权系基于提供污水处理服务而产生的将来金钱债权，依其性质亦可纳入依法可出质的“应收账款”的范畴。因此，讼争污水处理项目收益权作为特定化的财产权利，可以允许其出质。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w:t>
      </w:r>
      <w:r w:rsidRPr="009B5D07">
        <w:rPr>
          <w:rFonts w:ascii="仿宋" w:eastAsia="仿宋" w:hAnsi="仿宋" w:cs="宋体"/>
          <w:bCs/>
          <w:color w:val="2B2B2B"/>
          <w:kern w:val="0"/>
          <w:sz w:val="28"/>
          <w:szCs w:val="28"/>
        </w:rPr>
        <w:t>二、关于污水处理项目收益权质权的公示问题</w:t>
      </w:r>
      <w:r w:rsidRPr="009B5D07">
        <w:rPr>
          <w:rFonts w:ascii="仿宋" w:eastAsia="仿宋" w:hAnsi="仿宋" w:cs="宋体"/>
          <w:color w:val="2B2B2B"/>
          <w:kern w:val="0"/>
          <w:sz w:val="28"/>
          <w:szCs w:val="28"/>
        </w:rPr>
        <w:t xml:space="preserve">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对于污水处理项目收益权的质权公示问题，在《物权法》自2007年10月1日起施行后，因收益权已纳入该法第二百二十三条第六项的“应收账款”范畴，故应当在中国人民银行征信中心的应收账款质押登记公示系统进行出质登记，质权才能依法成立。由于本案的质押担保协议签订于2005年，在《物权法》施行之前，故不适用《物权法》关于应收账款的统一登记制度。因当时并未有统一的登记公示的规定，故参照当时公路收费权质押登记的规定，由其主管部门进行备案登记，有关利害关系人可通过其主管部门了解该收益权是否存在质押之情况，该权利即具备物权公示的效果。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本案中，长乐市建设局在《特许经营权质押担保协议》上盖章，且协议第七条明确约定“长乐市建设局同意为原告和福州市政公司办理质押登记出质登记手续”，故可认定讼争污水处理项目的主管部门已知晓并认可该权利质押情况，有关利害关系人亦可通过长乐市建设局查询了解讼争污水处理厂的有关权利质押的情况。因此，本案讼争的权利质押已具备公示之要件，质权已设立。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w:t>
      </w:r>
      <w:r w:rsidRPr="009B5D07">
        <w:rPr>
          <w:rFonts w:ascii="仿宋" w:eastAsia="仿宋" w:hAnsi="仿宋" w:cs="宋体"/>
          <w:bCs/>
          <w:color w:val="2B2B2B"/>
          <w:kern w:val="0"/>
          <w:sz w:val="28"/>
          <w:szCs w:val="28"/>
        </w:rPr>
        <w:t>三、关于污水处理项目收益权的质权实现方式问题</w:t>
      </w:r>
      <w:r w:rsidRPr="009B5D07">
        <w:rPr>
          <w:rFonts w:ascii="仿宋" w:eastAsia="仿宋" w:hAnsi="仿宋" w:cs="宋体"/>
          <w:color w:val="2B2B2B"/>
          <w:kern w:val="0"/>
          <w:sz w:val="28"/>
          <w:szCs w:val="28"/>
        </w:rPr>
        <w:t xml:space="preserve">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我国担保法和物权法均未具体规定权利质权的具体实现方式，仅就质权的实现作出一般性的规定，即质权人在行使质权时，可与出质人协议以质押财产折价，或就拍卖、变卖质押财产所得的价款优先受偿。但污水处理项目收益权属于将来金钱债权，质权人可请求法院判令其直接向出质人的债务人收取金钱并对该金钱行使优先受偿权，故无需采取折价或拍卖、变卖之方式。况且收益权均附有一定之负担，且其经营主体具有特定性，故依其性质亦不宜拍卖、变卖。因此，原告请求将《特许经营权质押担保协议》项下的质物予以拍卖、变卖并行使优先受偿权，不予支持。 </w:t>
      </w:r>
    </w:p>
    <w:p w:rsidR="00947BCB" w:rsidRPr="009B5D07" w:rsidRDefault="00947BCB" w:rsidP="00621D4F">
      <w:pPr>
        <w:widowControl/>
        <w:spacing w:beforeLines="50" w:before="156" w:afterLines="50" w:after="156" w:line="560" w:lineRule="exact"/>
        <w:ind w:firstLineChars="200" w:firstLine="56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根据协议约定，原告海峡银行五一支行有权直接向长乐市建设局收取污水处理服务费，并对所收取的污水处理服务费行使优先受偿权。由于被告仍应依约对污水处理厂进行正常运营和维护，若无法正常运营，则将影响到长乐市城区污水的处理，亦将影响原告对污水处理费的收取，故原告在向长乐市建设局收取污水处理服务费时，应当合理行使权利，为被告预留经营污水处理厂的必要合理费用。 </w:t>
      </w:r>
      <w:bookmarkStart w:id="0" w:name="_GoBack"/>
      <w:bookmarkEnd w:id="0"/>
    </w:p>
    <w:p w:rsidR="00947BCB" w:rsidRPr="009B5D07" w:rsidRDefault="00947BCB" w:rsidP="00875728">
      <w:pPr>
        <w:widowControl/>
        <w:spacing w:beforeLines="50" w:before="156" w:afterLines="50" w:after="156" w:line="560" w:lineRule="exact"/>
        <w:ind w:firstLineChars="150" w:firstLine="420"/>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（生效裁判审判人员：何忠、詹强华、朱宏海） </w:t>
      </w:r>
    </w:p>
    <w:p w:rsidR="00947BCB" w:rsidRPr="00875728" w:rsidRDefault="00947BCB" w:rsidP="00875728">
      <w:pPr>
        <w:widowControl/>
        <w:spacing w:beforeLines="50" w:before="156" w:afterLines="50" w:after="156" w:line="560" w:lineRule="exact"/>
        <w:jc w:val="left"/>
        <w:rPr>
          <w:rFonts w:ascii="黑体" w:eastAsia="黑体" w:hAnsi="黑体" w:cs="宋体"/>
          <w:b/>
          <w:color w:val="2B2B2B"/>
          <w:kern w:val="0"/>
          <w:sz w:val="28"/>
          <w:szCs w:val="28"/>
        </w:rPr>
      </w:pPr>
      <w:r w:rsidRPr="00875728">
        <w:rPr>
          <w:rFonts w:ascii="黑体" w:eastAsia="黑体" w:hAnsi="黑体" w:cs="宋体"/>
          <w:b/>
          <w:color w:val="2B2B2B"/>
          <w:kern w:val="0"/>
          <w:sz w:val="28"/>
          <w:szCs w:val="28"/>
        </w:rPr>
        <w:t xml:space="preserve">指导案例54号 </w:t>
      </w:r>
    </w:p>
    <w:p w:rsidR="00875728" w:rsidRDefault="00947BCB" w:rsidP="00875728">
      <w:pPr>
        <w:widowControl/>
        <w:spacing w:beforeLines="50" w:before="156" w:afterLines="50" w:after="156" w:line="560" w:lineRule="exact"/>
        <w:jc w:val="center"/>
        <w:rPr>
          <w:rFonts w:ascii="仿宋" w:eastAsia="仿宋" w:hAnsi="仿宋" w:cs="宋体"/>
          <w:color w:val="2B2B2B"/>
          <w:kern w:val="0"/>
          <w:sz w:val="28"/>
          <w:szCs w:val="28"/>
        </w:rPr>
      </w:pPr>
      <w:r w:rsidRPr="009B5D07">
        <w:rPr>
          <w:rFonts w:ascii="仿宋" w:eastAsia="仿宋" w:hAnsi="仿宋" w:cs="宋体"/>
          <w:color w:val="2B2B2B"/>
          <w:kern w:val="0"/>
          <w:sz w:val="28"/>
          <w:szCs w:val="28"/>
        </w:rPr>
        <w:t>中国农业发展银行安徽省分行诉 张大标、安徽长江融资担保集团有限公司执行异议之诉纠纷案</w:t>
      </w:r>
    </w:p>
    <w:p w:rsidR="00947BCB" w:rsidRPr="009B5D07" w:rsidRDefault="00947BCB" w:rsidP="00875728">
      <w:pPr>
        <w:widowControl/>
        <w:spacing w:beforeLines="50" w:before="156" w:afterLines="50" w:after="156" w:line="560" w:lineRule="exact"/>
        <w:jc w:val="center"/>
        <w:rPr>
          <w:rFonts w:ascii="仿宋" w:eastAsia="仿宋" w:hAnsi="仿宋" w:cs="宋体"/>
          <w:color w:val="2B2B2B"/>
          <w:kern w:val="0"/>
          <w:sz w:val="28"/>
          <w:szCs w:val="28"/>
        </w:rPr>
      </w:pPr>
      <w:r w:rsidRPr="009B5D07">
        <w:rPr>
          <w:rFonts w:ascii="仿宋" w:eastAsia="仿宋" w:hAnsi="仿宋" w:cs="宋体"/>
          <w:color w:val="2B2B2B"/>
          <w:kern w:val="0"/>
          <w:sz w:val="28"/>
          <w:szCs w:val="28"/>
        </w:rPr>
        <w:t>（最高人民法院审判委员会讨论通过 2015年11月19日发布）</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关键词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民事/执行异议之诉/金钱质押/特定化/移交占有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裁判要点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当事人依约为出质的金钱开立保证金专门账户，且质权人取得对该专门账户的占有控制权，符合金钱特定化和移交占有的要求，即使该账户内资金余额发生浮动，也不影响该金钱质权的设立。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相关法条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《中华人民共和国物权法》第212条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基本案情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原告中国农业发展银行安徽省分行（以下简称农发行安徽分行）诉称：其与第三人安徽长江融资担保集团有限公司（以下简称长江担保公司）按照签订的《信贷担保业务合作协议》，就信贷担保业务按约进行了合作。长江担保公司在农发行安徽分行处开设的担保保证金专户内的资金实际是长江担保公司向其提供的质押担保，请求判令其对该账户内的资金享有质权。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被告张大标辩称：农发行安徽分行与第三人长江担保公司之间的《贷款担保业务合作协议》没有质押的意思表示；案涉账户资金本身是浮动的，不符合金钱特定化要求，农发行安徽分行对案涉保证金账户内的资金不享有质权。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第三人长江担保公司认可农发行安徽分行对账户资金享有质权的意见。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法院经审理查明：2009年4月7日，农发行安徽分行与长江担保公司签订一份《贷款担保业务合作协议》。其中第三条“担保方式及担保责任”约定：甲方（长江担保公司）向乙方（农发行安徽分行）提供的保证担保为连带责任保证；保证担保的范围包括主债权及利息、违约金和实现债权的费用等。第四条“担保保证金（担保存款）”约定：甲方在乙方开立担保保证金专户，担保保证金专户行为农发行安徽分行营业部，账号尾号为9511；甲方需将具体担保业务约定的保证金在保证合同签订前存入担保保证金专户，甲方需缴存的保证金不低于贷款额度的10%；未经乙方同意，甲方不得动用担保保证金专户内的资金。第六条“贷款的催收、展期及担保责任的承担”约定：借款人逾期未能足额还款的，甲方在接到乙方书面通知后五日内按照第三条约定向乙方承担担保责任，并将相应款项划入乙方指定账户。第八条“违约责任”约定：甲方在乙方开立的担保专户的余额无论因何原因而小于约定的额度时，甲方应在接到乙方通知后三个工作日内补足，补足前乙方可以中止本协议项下业务。甲方违反本协议第六条的约定，没有按时履行保证责任的，乙方有权从甲方在其开立的担保基金专户或其他任一账户中扣划相应的款项。2009年10月30日、2010年10月30日，农发行安徽分行与长江担保公司还分别签订与上述合作协议内容相似的两份《信贷担保业务合作协议》。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上述协议签订后，农发行安徽分行与长江担保公司就贷款担保业务进行合作，长江担保公司在农发行安徽分行处开立担保保证金账户，账号尾号为9511。长江担保公司按照协议约定缴存规定比例的担保保证金，并据此为相应额度的贷款提供了连带保证责任担保。自2009年4月3日至2012年12月31日，该账户共发生了107笔业务，其中贷方业务为长江担保公司缴存的保证金；借方业务主要涉及两大类，一类是贷款归还后长江担保公司申请农发行安徽分行退还的保证金，部分退至债务人的账户；另一类是贷款逾期后农发行安徽分行从该账户内扣划的保证金。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2011年12月19日，安徽省合肥市中级人民法院在审理张大标诉安徽省六本食品有限责任公司、长江担保公司等民间借贷纠纷一案过程中，根据张大标的申请，对长江担保公司上述保证金账户内的资金1495.7852万元进行保全。该案判决生效后，合肥市中级人民法院将上述保证金账户内的资金1338.313257万元划至该院账户。农发行安徽分行作为案外人提出执行异议，2012年11月2日被合肥市中级人民法院裁定驳回异议。随后，农发行安徽分行因与被告张大标、第三人长江担保公司发生执行异议纠纷，提起本案诉讼。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裁判结果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安徽省合肥市中级人民法院于2013年3月28日作出 (2012)合民一初字第00505号民事判决：驳回农发行安徽分行的诉讼请求。宣判后，农发行安徽分行提出上诉。安徽省高级人民法院于2013年11月19日作出（2013）皖民二终字第00261号民事判决：一、撤销安徽省合肥市中级人民法院 (2012)合民一初字第00505号民事判决；二、农发行安徽分行对长江担保公司账户（账号尾号9511）内的13383132.57元资金享有质权。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裁判理由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法院生效裁判认为：本案二审的争议焦点为农发行安徽分行对案涉账户内的资金是否享有质权。对此应当从农发行安徽分行与长江担保公司之间是否存在质押关系以及质权是否设立两个方面进行审查。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一、农发行安徽分行与长江担保公司是否存在质押关系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中华人民共和国物权法》（以下简称《物权法》）第二百一十条规定：“设立质权，当事人应当采取书面形式订立质权合同。质权合同一般包括下列条款：（一）被担保债权的种类和数额；（二）债务人履行债务的期限；（三）质押财产的名称、数量、质量、状况；（四）担保的范围；（五）质押财产交付的时间。”本案中，农发行安徽分行与长江担保公司之间虽没有单独订立带有“质押”字样的合同，但依据该协议第四条、第六条、第八条约定的条款内容，农发行安徽分行与长江担保公司之间协商一致，对以下事项达成合意：长江担保公司为担保业务所缴存的保证金设立担保保证金专户，长江担保公司按照贷款额度的一定比例缴存保证金；农发行安徽分行作为开户行对长江担保公司存入该账户的保证金取得控制权，未经同意，长江担保公司不能自由使用该账户内的资金；长江担保公司未履行保证责任，农发行安徽分行有权从该账户中扣划相应的款项。该合意明确约定了所担保债权的种类和数量、债务履行期限、质物数量和移交时间、担保范围、质权行使条件，具备《物权法》第二百一十条规定的质押合同的一般条款，故应认定农发行安徽分行与长江担保公司之间订立了书面质押合同。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二、案涉质权是否设立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物权法》第二百一十二条规定：“质权自出质人交付质押财产时设立。”《最高人民法院关于适用〈中华人民共和国担保法〉若干问题的解释》第八十五条规定，债务人或者第三人将其金钱以特户、封金、保证金等形式特定化后，移交债权人占有作为债权的担保，债务人不履行债务时，债权人可以以该金钱优先受偿。依照上述法律和司法解释规定，金钱作为一种特殊的动产，可以用于质押。金钱质押作为特殊的动产质押，不同于不动产抵押和权利质押，还应当符合金钱特定化和移交债权人占有两个要件，以使金钱既不与出质人其他财产相混同，又能独立于质权人的财产。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本案中，首先金钱以保证金形式特定化。长江担保公司于2009年4月3日在农发行安徽分行开户，且与《贷款担保业务合作协议》约定的账号一致，即双方当事人已经按照协议约定为出质金钱开立了担保保证金专户。保证金专户开立后，账户内转入的资金为长江担保公司根据每次担保贷款额度的一定比例向该账户缴存保证金；账户内转出的资金为农发行安徽分行对保证金的退还和扣划，该账户未作日常结算使用，故符合《最高人民法院关于适用〈中华人民共和国担保法〉若干问题的解释》第八十五条规定的金钱以特户等形式特定化的要求。其次，特定化金钱已移交债权人占有。占有是指对物进行控制和管理的事实状态。案涉保证金账户开立在农发行安徽分行，长江担保公司作为担保保证金专户内资金的所有权人，本应享有自由支取的权利，但《贷款担保业务合作协议》约定未经农发行安徽分行同意，长江担保公司不得动用担保保证金专户内的资金。同时，《贷款担保业务合作协议》约定在担保的贷款到期未获清偿时，农发行安徽分行有权直接扣划担保保证金专户内的资金，农发行安徽分行作为债权人取得了案涉保证金账户的控制权，实际控制和管理该账户，此种控制权移交符合出质金钱移交债权人占有的要求。据此，应当认定双方当事人已就案涉保证金账户内的资金设立质权。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关于账户资金浮动是否影响金钱特定化的问题。保证金以专门账户形式特定化并不等于固定化。案涉账户在使用过程中，随着担保业务的开展，保证金账户的资金余额是浮动的。担保公司开展新的贷款担保业务时，需要按照约定存入一定比例的保证金，必然导致账户资金的增加；在担保公司担保的贷款到期未获清偿时，扣划保证金账户内的资金，必然导致账户资金的减少。虽然账户内资金根据业务发生情况处于浮动状态，但均与保证金业务相对应，除缴存的保证金外，支出的款项均用于保证金的退还和扣划，未用于非保证金业务的日常结算。即农发行安徽分行可以控制该账户，长江担保公司对该账户内的资金使用受到限制，故该账户资金浮动仍符合金钱作为质权的特定化和移交占有的要求，不影响该金钱质权的设立。 </w:t>
      </w:r>
    </w:p>
    <w:p w:rsidR="00875728" w:rsidRPr="00D84DB2" w:rsidRDefault="00947BCB" w:rsidP="00D84DB2">
      <w:pPr>
        <w:widowControl/>
        <w:spacing w:beforeLines="50" w:before="156" w:afterLines="50" w:after="156" w:line="560" w:lineRule="exact"/>
        <w:ind w:firstLine="555"/>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（生效裁判审判人员：霍楠、徐旭红、卢玉河） </w:t>
      </w:r>
    </w:p>
    <w:p w:rsidR="009B5D07" w:rsidRPr="00875728" w:rsidRDefault="00947BCB" w:rsidP="00875728">
      <w:pPr>
        <w:widowControl/>
        <w:spacing w:beforeLines="50" w:before="156" w:afterLines="50" w:after="156" w:line="560" w:lineRule="exact"/>
        <w:jc w:val="left"/>
        <w:rPr>
          <w:rFonts w:ascii="黑体" w:eastAsia="黑体" w:hAnsi="黑体" w:cs="宋体"/>
          <w:b/>
          <w:color w:val="2B2B2B"/>
          <w:kern w:val="0"/>
          <w:sz w:val="28"/>
          <w:szCs w:val="28"/>
        </w:rPr>
      </w:pPr>
      <w:r w:rsidRPr="00875728">
        <w:rPr>
          <w:rFonts w:ascii="黑体" w:eastAsia="黑体" w:hAnsi="黑体" w:cs="宋体"/>
          <w:b/>
          <w:color w:val="2B2B2B"/>
          <w:kern w:val="0"/>
          <w:sz w:val="28"/>
          <w:szCs w:val="28"/>
        </w:rPr>
        <w:t>指导案例55号：</w:t>
      </w:r>
    </w:p>
    <w:p w:rsidR="00947BCB" w:rsidRPr="009B5D07" w:rsidRDefault="00947BCB" w:rsidP="00875728">
      <w:pPr>
        <w:widowControl/>
        <w:spacing w:beforeLines="50" w:before="156" w:afterLines="50" w:after="156" w:line="560" w:lineRule="exact"/>
        <w:jc w:val="center"/>
        <w:rPr>
          <w:rFonts w:ascii="仿宋" w:eastAsia="仿宋" w:hAnsi="仿宋" w:cs="宋体"/>
          <w:color w:val="2B2B2B"/>
          <w:kern w:val="0"/>
          <w:sz w:val="28"/>
          <w:szCs w:val="28"/>
        </w:rPr>
      </w:pPr>
      <w:r w:rsidRPr="009B5D07">
        <w:rPr>
          <w:rFonts w:ascii="仿宋" w:eastAsia="仿宋" w:hAnsi="仿宋" w:cs="宋体"/>
          <w:color w:val="2B2B2B"/>
          <w:kern w:val="0"/>
          <w:sz w:val="28"/>
          <w:szCs w:val="28"/>
        </w:rPr>
        <w:t>柏万清诉成都难寻物品营销服务中心等侵害实用新型专利权纠纷案</w:t>
      </w:r>
    </w:p>
    <w:p w:rsidR="00947BCB" w:rsidRPr="009B5D07" w:rsidRDefault="00947BCB" w:rsidP="00875728">
      <w:pPr>
        <w:widowControl/>
        <w:spacing w:beforeLines="50" w:before="156" w:afterLines="50" w:after="156" w:line="560" w:lineRule="exact"/>
        <w:jc w:val="center"/>
        <w:rPr>
          <w:rFonts w:ascii="仿宋" w:eastAsia="仿宋" w:hAnsi="仿宋" w:cs="宋体"/>
          <w:color w:val="2B2B2B"/>
          <w:kern w:val="0"/>
          <w:sz w:val="28"/>
          <w:szCs w:val="28"/>
        </w:rPr>
      </w:pPr>
      <w:r w:rsidRPr="009B5D07">
        <w:rPr>
          <w:rFonts w:ascii="仿宋" w:eastAsia="仿宋" w:hAnsi="仿宋" w:cs="宋体"/>
          <w:color w:val="2B2B2B"/>
          <w:kern w:val="0"/>
          <w:sz w:val="28"/>
          <w:szCs w:val="28"/>
        </w:rPr>
        <w:t>（最高人民法院审判委员会讨论通过 2015年11月19日发布）</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关键词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民事/侵害实用新型专利权/保护范围/技术术语/侵权对比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裁判要点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专利权的保护范围应当清楚，如果实用新型专利权的权利要求书的表述存在明显瑕疵，结合涉案专利说明书、附图、本领域的公知常识及相关现有技术等，不能确定权利要求中技术术语的具体含义而导致专利权的保护范围明显不清，则因无法将其与被诉侵权技术方案进行有实质意义的侵权对比，从而不能认定被诉侵权技术方案构成侵权。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相关法条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《中华人民共和国专利法》第26条第4款、第59条第1款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基本案情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原告柏万清系专利号200420091540.7、名称为“防电磁污染服”实用新型专利（以下简称涉案专利）的专利权人。涉案专利权利要求1的技术特征为：A.一种防电磁污染服，包括上装和下装；B.服装的面料里设有起屏蔽作用的金属网或膜；C.起屏蔽作用的金属网或膜由导磁率高而无剩磁的金属细丝或者金属粉末构成。该专利说明书载明，该专利的目的是提供一种成本低、保护范围宽和效果好的防电磁污染服。其特征在于所述服装在面料里设有由导磁率高而无剩磁的金属细丝或者金属粉末构成的起屏蔽保护作用的金属网或膜。所述金属细丝可用市售5到8丝的铜丝等，所述金属粉末可用如软铁粉末等。附图1、2表明，防护服是在不改变已有服装样式和面料功能的基础上，通过在面料里织进导电金属细丝或者以喷、涂、扩散、浸泡和印染等任一方式的加工方法将导电金属粉末与面料复合，构成带网眼的网状结构即可。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2010年5月28日，成都难寻物品营销服务中心销售了由上海添香实业有限公司生产的添香牌防辐射服上装，该产品售价490元，其技术特征是：a.一种防电磁污染服上装；b.服装的面料里设有起屏蔽作用的金属防护网；c.起屏蔽作用的金属防护网由不锈钢金属纤维构成。7月19日，柏万清以成都难寻物品营销服务中心销售、上海添香实业有限公司生产的添香牌防辐射服上装（以下简称被诉侵权产品）侵犯涉案专利权为由，向四川省成都市中级人民法院提起民事诉讼，请求判令成都难寻物品营销服务中心立即停止销售被控侵权产品；上海添香实业有限公司停止生产、销售被控侵权产品，并赔偿经济损失l00万元。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裁判结果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四川省成都市中级人民法院于2011年2月18日作出(2010）成民初字第597号民事判决，驳回柏万清的诉讼请求。宣判后，柏万清提起上诉。四川省高级人民法院于2011年10月24日作出(2011)川民终字第391号民事判决驳回柏万清上诉，维持原判。柏万清不服，向最高人民法院申请再审，最高人民法院于2012年12月28日裁定驳回其再审申请。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裁判理由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法院生效裁判认为：本案争议焦点是上海添香实业有限公司生产、成都难寻物品营销服务中心销售的被控侵权产品是否侵犯柏万清的“防电磁污染服”实用新型专利权。《中华人民共和国专利法》第二十六条第四款规定：“权利要求书应当以说明书为依据，清楚、简要地限定要求专利保护的范围。”第五十九条第一款规定：“发明或者实用新型专利权的保护范围以其权利要求的内容为准，说明书及附图可以用于解释权利要求的内容。”可见，准确界定专利权的保护范围，是认定被诉侵权技术方案是否构成侵权的前提条件。如果权利要求书的撰写存在明显瑕疵，结合涉案专利说明书、附图、本领域的公知常识以及相关现有技术等，仍然不能确定权利要求中技术术语的具体含义，无法准确确定专利权的保护范围的，则无法将被诉侵权技术方案与之进行有意义的侵权对比。因此，对于保护范围明显不清楚的专利权，不能认定被诉侵权技术方案构成侵权。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本案中，涉案专利权利要求1的技术特征C中的“导磁率高”的具体范围难以确定。首先，根据柏万清提供的证据，虽然磁导率有时也被称为导磁率，但磁导率有绝对磁导率与相对磁导率之分，根据具体条件的不同还涉及起始磁导率μi、最大磁导率μm等概念。不同概念的含义不同，计算方式也不尽相同。磁导率并非常数，磁场强度H发生变化时，即可观察到磁导率的变化。但是在涉案专利说明书中，既没有记载导磁率在涉案专利技术方案中是指相对磁导率还是绝对磁导率或者其他概念，又没有记载导磁率高的具体范围，也没有记载包括磁场强度H等在内的计算导磁率的客观条件。本领域技术人员根据涉案专利说明书，难以确定涉案专利中所称的导磁率高的具体含义。其次，从柏万清提交的相关证据来看，虽能证明有些现有技术中确实采用了高磁导率、高导磁率等表述，但根据技术领域以及磁场强度的不同，所谓高导磁率的含义十分宽泛，从80 Gs/Oe至83.5×104 Gs/Oe均被柏万清称为高导磁率。柏万清提供的证据并不能证明在涉案专利所属技术领域中，本领域技术人员对于高导磁率的含义或者范围有着相对统一的认识。最后，柏万清主张根据具体使用环境的不同，本领域技术人员可以确定具体的安全下限，从而确定所需的导磁率。该主张实际上是将能够实现防辐射目的的所有情形均纳入涉案专利权的保护范围，保护范围过于宽泛，亦缺乏事实和法律依据。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综上所述，根据涉案专利说明书以及柏万清提供的有关证据，本领域技术人员难以确定权利要求1技术特征C中“导磁率高”的具体范围或者具体含义，不能准确确定权利要求1的保护范围，无法将被诉侵权产品与之进行有实质意义的侵权对比。因此，二审判决认定柏万清未能举证证明被诉侵权产品落入涉案专利权的保护范围，并无不当。 </w:t>
      </w:r>
    </w:p>
    <w:p w:rsidR="00947BCB" w:rsidRDefault="00947BCB" w:rsidP="00875728">
      <w:pPr>
        <w:widowControl/>
        <w:spacing w:beforeLines="50" w:before="156" w:afterLines="50" w:after="156" w:line="560" w:lineRule="exact"/>
        <w:ind w:firstLine="555"/>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（生效裁判审判人员：周翔、罗霞、杜微科） </w:t>
      </w:r>
    </w:p>
    <w:p w:rsidR="009B5D07" w:rsidRPr="00875728" w:rsidRDefault="00947BCB" w:rsidP="00875728">
      <w:pPr>
        <w:widowControl/>
        <w:spacing w:beforeLines="50" w:before="156" w:afterLines="50" w:after="156" w:line="560" w:lineRule="exact"/>
        <w:jc w:val="left"/>
        <w:rPr>
          <w:rFonts w:ascii="黑体" w:eastAsia="黑体" w:hAnsi="黑体" w:cs="宋体"/>
          <w:b/>
          <w:color w:val="2B2B2B"/>
          <w:kern w:val="0"/>
          <w:sz w:val="28"/>
          <w:szCs w:val="28"/>
        </w:rPr>
      </w:pPr>
      <w:r w:rsidRPr="00875728">
        <w:rPr>
          <w:rFonts w:ascii="黑体" w:eastAsia="黑体" w:hAnsi="黑体" w:cs="宋体"/>
          <w:b/>
          <w:color w:val="2B2B2B"/>
          <w:kern w:val="0"/>
          <w:sz w:val="28"/>
          <w:szCs w:val="28"/>
        </w:rPr>
        <w:t>指导案例56号：</w:t>
      </w:r>
    </w:p>
    <w:p w:rsidR="00947BCB" w:rsidRPr="009B5D07" w:rsidRDefault="00947BCB" w:rsidP="00875728">
      <w:pPr>
        <w:widowControl/>
        <w:spacing w:beforeLines="50" w:before="156" w:afterLines="50" w:after="156" w:line="560" w:lineRule="exact"/>
        <w:jc w:val="center"/>
        <w:rPr>
          <w:rFonts w:ascii="仿宋" w:eastAsia="仿宋" w:hAnsi="仿宋" w:cs="宋体"/>
          <w:color w:val="2B2B2B"/>
          <w:kern w:val="0"/>
          <w:sz w:val="28"/>
          <w:szCs w:val="28"/>
        </w:rPr>
      </w:pPr>
      <w:r w:rsidRPr="009B5D07">
        <w:rPr>
          <w:rFonts w:ascii="仿宋" w:eastAsia="仿宋" w:hAnsi="仿宋" w:cs="宋体"/>
          <w:color w:val="2B2B2B"/>
          <w:kern w:val="0"/>
          <w:sz w:val="28"/>
          <w:szCs w:val="28"/>
        </w:rPr>
        <w:t>韩凤彬诉内蒙古九郡药业有限责任公司等产品责任纠纷管辖权异议案</w:t>
      </w:r>
    </w:p>
    <w:p w:rsidR="00947BCB" w:rsidRPr="009B5D07" w:rsidRDefault="00947BCB" w:rsidP="00875728">
      <w:pPr>
        <w:widowControl/>
        <w:spacing w:beforeLines="50" w:before="156" w:afterLines="50" w:after="156" w:line="560" w:lineRule="exact"/>
        <w:jc w:val="center"/>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（最高人民法院审判委员会讨论通过 2015年11月19日发布）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关键词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民事诉讼/管辖异议/再审期间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裁判要点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当事人在一审提交答辩状期间未提出管辖异议，在二审或者再审发回重审时提出管辖异议的，人民法院不予审查。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相关法条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《中华人民共和国民事诉讼法》第127条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基本案情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原告韩凤彬诉被告内蒙古九郡药业有限责任公司（以下简称九郡药业）、上海云洲商厦有限公司（以下简称云洲商厦）、上海广播电视台（以下简称上海电视台）、大连鸿雁大药房有限公司（以下简称鸿雁大药房）产品质量损害赔偿纠纷一案，辽宁省大连市中级人民法院于2008年9月3日作出（2007）大民权初字第4号民事判决。九郡药业、云洲商厦、上海电视台不服，向辽宁省高级人民法院提起上诉。该院于2010年5月24日作出（2008）辽民一终字第400号民事判决。该判决发生法律效力后，再审申请人九郡药业、云洲商厦向最高人民法院申请再审。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最高人民法院于同年12月22日作出（2010）民申字第1019号民事裁定，提审本案，并于2011年8月3日作出（2011）民提字第117号民事裁定，撤销一、二审民事判决，发回辽宁省大连市中级人民法院重审。在重审中，九郡药业和云洲商厦提出管辖异议。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裁判结果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辽宁省大连市中级人民法院于2012年2月29日作出（2011）大审民再初字第7号民事裁定，认为该院重审此案系接受最高人民法院指令，被告之一鸿雁大药房住所地在辽宁省大连市中山区，遂裁定驳回九郡药业和云洲商厦对管辖权提出的异议。九郡药业、云洲商厦提起上诉，辽宁省高级人民法院于2012年5月7日作出（2012）辽立一民再终字第1号民事裁定，认为原告韩凤彬在向大连市中级人民法院提起诉讼时，即将住所地在大连市的鸿雁大药房列为被告之一，且在原审过程中提交了在鸿雁大药房购药的相关证据并经庭审质证，鸿雁大药房属适格被告，大连市中级人民法院对该案有管辖权，遂裁定驳回上诉，维持原裁定。九郡药业、云洲商厦后分别向最高人民法院申请再审。最高人民法院于2013年3月27日作出（2013）民再申字第27号民事裁定，驳回九郡药业和云洲商厦的再审申请。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裁判理由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法院生效裁判认为：对于当事人提出管辖权异议的期间，《中华人民共和国民事诉讼法》（以下简称《民事诉讼法》）第一百二十七条明确规定：当事人对管辖权有异议的，应当在提交答辩状期间提出。当事人未提出管辖异议，并应诉答辩的，视为受诉人民法院有管辖权。由此可知，当事人在一审提交答辩状期间未提出管辖异议，在案件二审或者再审时才提出管辖权异议的，根据管辖恒定原则，案件管辖权已经确定，人民法院对此不予审查。本案中，九郡药业和云洲商厦是案件被通过审判监督程序裁定发回一审法院重审，在一审法院的重审中才就管辖权提出异议的。最初一审时原告韩凤彬的起诉状送达给九郡药业和云洲商厦，九郡药业和云洲商厦在答辩期内并没有对管辖权提出异议，说明其已接受了一审法院的管辖，管辖权已确定。而且案件经过一审、二审和再审，所经过的程序仍具有程序上的效力，不可逆转。本案是经审判监督程序发回一审法院重审的案件，虽然按照第一审程序审理，但是发回重审的案件并非一个初审案件，案件管辖权早已确定。就管辖而言，因民事诉讼程序的启动始于当事人的起诉，确定案件的管辖权，应以起诉时为标准，起诉时对案件有管辖权的法院，不因确定管辖的事实在诉讼过程中发生变化而影响其管辖权。当案件诉至人民法院，经人民法院立案受理，诉状送达给被告，被告在答辩期内未提出管辖异议，表明案件已确定了管辖法院，此后不因当事人住所地、经常居住地的变更或行政区域的变更而改变案件的管辖法院。在管辖权已确定的前提下，当事人无权再就管辖权提出异议。如果在重审中当事人仍可就管辖权提出异议，无疑会使已稳定的诉讼程序处于不确定的状态，破坏了诉讼程序的安定、有序，拖延诉讼，不仅降低诉讼效率，浪费司法资源，而且不利于纠纷的解决。因此，基于管辖恒定原则、诉讼程序的确定性以及公正和效率的要求，不能支持重审案件当事人再就管辖权提出的异议。据此，九郡药业和云洲商厦就本案管辖权提出异议，没有法律依据，原审裁定驳回其管辖异议并无不当。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综上，九郡药业和云洲商厦的再审申请不符合《民事诉讼法》第二百条第（六）项规定的应当再审情形，故依照该法第二百零四条第一款的规定，裁定驳回九郡药业和云洲商厦的再审申请。 </w:t>
      </w:r>
    </w:p>
    <w:p w:rsidR="00947BCB" w:rsidRPr="009B5D07" w:rsidRDefault="00947BCB" w:rsidP="00875728">
      <w:pPr>
        <w:widowControl/>
        <w:spacing w:beforeLines="50" w:before="156" w:afterLines="50" w:after="156" w:line="560" w:lineRule="exact"/>
        <w:jc w:val="left"/>
        <w:rPr>
          <w:rFonts w:ascii="仿宋" w:eastAsia="仿宋" w:hAnsi="仿宋" w:cs="宋体"/>
          <w:color w:val="2B2B2B"/>
          <w:kern w:val="0"/>
          <w:sz w:val="28"/>
          <w:szCs w:val="28"/>
        </w:rPr>
      </w:pPr>
      <w:r w:rsidRPr="009B5D07">
        <w:rPr>
          <w:rFonts w:ascii="仿宋" w:eastAsia="仿宋" w:hAnsi="仿宋" w:cs="宋体"/>
          <w:color w:val="2B2B2B"/>
          <w:kern w:val="0"/>
          <w:sz w:val="28"/>
          <w:szCs w:val="28"/>
        </w:rPr>
        <w:t xml:space="preserve">　　（生效裁判审判人员：张志弘、宁晟、贾亚奇） </w:t>
      </w:r>
    </w:p>
    <w:p w:rsidR="004C748B" w:rsidRPr="009B5D07" w:rsidRDefault="004C748B" w:rsidP="00D84DB2">
      <w:pPr>
        <w:spacing w:beforeLines="50" w:before="156" w:afterLines="50" w:after="156" w:line="560" w:lineRule="exact"/>
        <w:rPr>
          <w:rFonts w:ascii="仿宋" w:eastAsia="仿宋" w:hAnsi="仿宋" w:cs="宋体"/>
          <w:color w:val="2B2B2B"/>
          <w:kern w:val="0"/>
          <w:sz w:val="28"/>
          <w:szCs w:val="28"/>
        </w:rPr>
      </w:pPr>
    </w:p>
    <w:sectPr w:rsidR="004C748B" w:rsidRPr="009B5D07" w:rsidSect="00040C8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BCB" w:rsidRDefault="00947BCB" w:rsidP="00947BCB">
      <w:r>
        <w:separator/>
      </w:r>
    </w:p>
  </w:endnote>
  <w:endnote w:type="continuationSeparator" w:id="0">
    <w:p w:rsidR="00947BCB" w:rsidRDefault="00947BCB" w:rsidP="0094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BCB" w:rsidRDefault="00947BCB" w:rsidP="00947BCB">
      <w:r>
        <w:separator/>
      </w:r>
    </w:p>
  </w:footnote>
  <w:footnote w:type="continuationSeparator" w:id="0">
    <w:p w:rsidR="00947BCB" w:rsidRDefault="00947BCB" w:rsidP="00947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45D44"/>
    <w:multiLevelType w:val="multilevel"/>
    <w:tmpl w:val="77E8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133C6"/>
    <w:multiLevelType w:val="multilevel"/>
    <w:tmpl w:val="ECA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956919"/>
    <w:multiLevelType w:val="multilevel"/>
    <w:tmpl w:val="7FFE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FE6D81"/>
    <w:multiLevelType w:val="multilevel"/>
    <w:tmpl w:val="9F4E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6A0171"/>
    <w:multiLevelType w:val="multilevel"/>
    <w:tmpl w:val="15BC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3F29D6"/>
    <w:multiLevelType w:val="multilevel"/>
    <w:tmpl w:val="7340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37"/>
    <w:rsid w:val="00040C86"/>
    <w:rsid w:val="004C748B"/>
    <w:rsid w:val="00621D4F"/>
    <w:rsid w:val="00840E37"/>
    <w:rsid w:val="00875728"/>
    <w:rsid w:val="00947BCB"/>
    <w:rsid w:val="009B5D07"/>
    <w:rsid w:val="00D8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850886A-590B-4838-B4F3-59A037A2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7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7BCB"/>
    <w:rPr>
      <w:sz w:val="18"/>
      <w:szCs w:val="18"/>
    </w:rPr>
  </w:style>
  <w:style w:type="paragraph" w:styleId="a4">
    <w:name w:val="footer"/>
    <w:basedOn w:val="a"/>
    <w:link w:val="Char0"/>
    <w:uiPriority w:val="99"/>
    <w:unhideWhenUsed/>
    <w:rsid w:val="00947BCB"/>
    <w:pPr>
      <w:tabs>
        <w:tab w:val="center" w:pos="4153"/>
        <w:tab w:val="right" w:pos="8306"/>
      </w:tabs>
      <w:snapToGrid w:val="0"/>
      <w:jc w:val="left"/>
    </w:pPr>
    <w:rPr>
      <w:sz w:val="18"/>
      <w:szCs w:val="18"/>
    </w:rPr>
  </w:style>
  <w:style w:type="character" w:customStyle="1" w:styleId="Char0">
    <w:name w:val="页脚 Char"/>
    <w:basedOn w:val="a0"/>
    <w:link w:val="a4"/>
    <w:uiPriority w:val="99"/>
    <w:rsid w:val="00947BCB"/>
    <w:rPr>
      <w:sz w:val="18"/>
      <w:szCs w:val="18"/>
    </w:rPr>
  </w:style>
  <w:style w:type="paragraph" w:styleId="a5">
    <w:name w:val="Normal (Web)"/>
    <w:basedOn w:val="a"/>
    <w:uiPriority w:val="99"/>
    <w:semiHidden/>
    <w:unhideWhenUsed/>
    <w:rsid w:val="00947B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7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6171">
      <w:bodyDiv w:val="1"/>
      <w:marLeft w:val="0"/>
      <w:marRight w:val="0"/>
      <w:marTop w:val="0"/>
      <w:marBottom w:val="0"/>
      <w:divBdr>
        <w:top w:val="none" w:sz="0" w:space="0" w:color="auto"/>
        <w:left w:val="none" w:sz="0" w:space="0" w:color="auto"/>
        <w:bottom w:val="none" w:sz="0" w:space="0" w:color="auto"/>
        <w:right w:val="none" w:sz="0" w:space="0" w:color="auto"/>
      </w:divBdr>
      <w:divsChild>
        <w:div w:id="279193946">
          <w:marLeft w:val="0"/>
          <w:marRight w:val="0"/>
          <w:marTop w:val="0"/>
          <w:marBottom w:val="0"/>
          <w:divBdr>
            <w:top w:val="none" w:sz="0" w:space="0" w:color="auto"/>
            <w:left w:val="none" w:sz="0" w:space="0" w:color="auto"/>
            <w:bottom w:val="none" w:sz="0" w:space="0" w:color="auto"/>
            <w:right w:val="none" w:sz="0" w:space="0" w:color="auto"/>
          </w:divBdr>
          <w:divsChild>
            <w:div w:id="607322613">
              <w:marLeft w:val="0"/>
              <w:marRight w:val="0"/>
              <w:marTop w:val="0"/>
              <w:marBottom w:val="0"/>
              <w:divBdr>
                <w:top w:val="none" w:sz="0" w:space="0" w:color="auto"/>
                <w:left w:val="none" w:sz="0" w:space="0" w:color="auto"/>
                <w:bottom w:val="none" w:sz="0" w:space="0" w:color="auto"/>
                <w:right w:val="none" w:sz="0" w:space="0" w:color="auto"/>
              </w:divBdr>
              <w:divsChild>
                <w:div w:id="183792829">
                  <w:marLeft w:val="0"/>
                  <w:marRight w:val="0"/>
                  <w:marTop w:val="0"/>
                  <w:marBottom w:val="0"/>
                  <w:divBdr>
                    <w:top w:val="none" w:sz="0" w:space="0" w:color="auto"/>
                    <w:left w:val="none" w:sz="0" w:space="0" w:color="auto"/>
                    <w:bottom w:val="none" w:sz="0" w:space="0" w:color="auto"/>
                    <w:right w:val="none" w:sz="0" w:space="0" w:color="auto"/>
                  </w:divBdr>
                </w:div>
                <w:div w:id="1593591031">
                  <w:marLeft w:val="0"/>
                  <w:marRight w:val="0"/>
                  <w:marTop w:val="0"/>
                  <w:marBottom w:val="0"/>
                  <w:divBdr>
                    <w:top w:val="none" w:sz="0" w:space="0" w:color="auto"/>
                    <w:left w:val="none" w:sz="0" w:space="0" w:color="auto"/>
                    <w:bottom w:val="none" w:sz="0" w:space="0" w:color="auto"/>
                    <w:right w:val="none" w:sz="0" w:space="0" w:color="auto"/>
                  </w:divBdr>
                </w:div>
                <w:div w:id="1030037283">
                  <w:marLeft w:val="0"/>
                  <w:marRight w:val="0"/>
                  <w:marTop w:val="0"/>
                  <w:marBottom w:val="0"/>
                  <w:divBdr>
                    <w:top w:val="none" w:sz="0" w:space="0" w:color="auto"/>
                    <w:left w:val="none" w:sz="0" w:space="0" w:color="auto"/>
                    <w:bottom w:val="none" w:sz="0" w:space="0" w:color="auto"/>
                    <w:right w:val="none" w:sz="0" w:space="0" w:color="auto"/>
                  </w:divBdr>
                  <w:divsChild>
                    <w:div w:id="13648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7464">
      <w:bodyDiv w:val="1"/>
      <w:marLeft w:val="0"/>
      <w:marRight w:val="0"/>
      <w:marTop w:val="0"/>
      <w:marBottom w:val="0"/>
      <w:divBdr>
        <w:top w:val="none" w:sz="0" w:space="0" w:color="auto"/>
        <w:left w:val="none" w:sz="0" w:space="0" w:color="auto"/>
        <w:bottom w:val="none" w:sz="0" w:space="0" w:color="auto"/>
        <w:right w:val="none" w:sz="0" w:space="0" w:color="auto"/>
      </w:divBdr>
      <w:divsChild>
        <w:div w:id="1316375588">
          <w:marLeft w:val="0"/>
          <w:marRight w:val="0"/>
          <w:marTop w:val="0"/>
          <w:marBottom w:val="0"/>
          <w:divBdr>
            <w:top w:val="none" w:sz="0" w:space="0" w:color="auto"/>
            <w:left w:val="none" w:sz="0" w:space="0" w:color="auto"/>
            <w:bottom w:val="none" w:sz="0" w:space="0" w:color="auto"/>
            <w:right w:val="none" w:sz="0" w:space="0" w:color="auto"/>
          </w:divBdr>
          <w:divsChild>
            <w:div w:id="1589801821">
              <w:marLeft w:val="0"/>
              <w:marRight w:val="0"/>
              <w:marTop w:val="0"/>
              <w:marBottom w:val="0"/>
              <w:divBdr>
                <w:top w:val="none" w:sz="0" w:space="0" w:color="auto"/>
                <w:left w:val="none" w:sz="0" w:space="0" w:color="auto"/>
                <w:bottom w:val="none" w:sz="0" w:space="0" w:color="auto"/>
                <w:right w:val="none" w:sz="0" w:space="0" w:color="auto"/>
              </w:divBdr>
              <w:divsChild>
                <w:div w:id="119998283">
                  <w:marLeft w:val="0"/>
                  <w:marRight w:val="0"/>
                  <w:marTop w:val="0"/>
                  <w:marBottom w:val="0"/>
                  <w:divBdr>
                    <w:top w:val="none" w:sz="0" w:space="0" w:color="auto"/>
                    <w:left w:val="none" w:sz="0" w:space="0" w:color="auto"/>
                    <w:bottom w:val="none" w:sz="0" w:space="0" w:color="auto"/>
                    <w:right w:val="none" w:sz="0" w:space="0" w:color="auto"/>
                  </w:divBdr>
                  <w:divsChild>
                    <w:div w:id="1898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3332">
      <w:bodyDiv w:val="1"/>
      <w:marLeft w:val="0"/>
      <w:marRight w:val="0"/>
      <w:marTop w:val="0"/>
      <w:marBottom w:val="0"/>
      <w:divBdr>
        <w:top w:val="none" w:sz="0" w:space="0" w:color="auto"/>
        <w:left w:val="none" w:sz="0" w:space="0" w:color="auto"/>
        <w:bottom w:val="none" w:sz="0" w:space="0" w:color="auto"/>
        <w:right w:val="none" w:sz="0" w:space="0" w:color="auto"/>
      </w:divBdr>
      <w:divsChild>
        <w:div w:id="1040057453">
          <w:marLeft w:val="0"/>
          <w:marRight w:val="0"/>
          <w:marTop w:val="0"/>
          <w:marBottom w:val="0"/>
          <w:divBdr>
            <w:top w:val="none" w:sz="0" w:space="0" w:color="auto"/>
            <w:left w:val="none" w:sz="0" w:space="0" w:color="auto"/>
            <w:bottom w:val="none" w:sz="0" w:space="0" w:color="auto"/>
            <w:right w:val="none" w:sz="0" w:space="0" w:color="auto"/>
          </w:divBdr>
          <w:divsChild>
            <w:div w:id="465585862">
              <w:marLeft w:val="0"/>
              <w:marRight w:val="0"/>
              <w:marTop w:val="0"/>
              <w:marBottom w:val="0"/>
              <w:divBdr>
                <w:top w:val="none" w:sz="0" w:space="0" w:color="auto"/>
                <w:left w:val="none" w:sz="0" w:space="0" w:color="auto"/>
                <w:bottom w:val="none" w:sz="0" w:space="0" w:color="auto"/>
                <w:right w:val="none" w:sz="0" w:space="0" w:color="auto"/>
              </w:divBdr>
              <w:divsChild>
                <w:div w:id="1153134636">
                  <w:marLeft w:val="0"/>
                  <w:marRight w:val="0"/>
                  <w:marTop w:val="0"/>
                  <w:marBottom w:val="0"/>
                  <w:divBdr>
                    <w:top w:val="none" w:sz="0" w:space="0" w:color="auto"/>
                    <w:left w:val="none" w:sz="0" w:space="0" w:color="auto"/>
                    <w:bottom w:val="none" w:sz="0" w:space="0" w:color="auto"/>
                    <w:right w:val="none" w:sz="0" w:space="0" w:color="auto"/>
                  </w:divBdr>
                </w:div>
                <w:div w:id="1782602856">
                  <w:marLeft w:val="0"/>
                  <w:marRight w:val="0"/>
                  <w:marTop w:val="0"/>
                  <w:marBottom w:val="0"/>
                  <w:divBdr>
                    <w:top w:val="none" w:sz="0" w:space="0" w:color="auto"/>
                    <w:left w:val="none" w:sz="0" w:space="0" w:color="auto"/>
                    <w:bottom w:val="none" w:sz="0" w:space="0" w:color="auto"/>
                    <w:right w:val="none" w:sz="0" w:space="0" w:color="auto"/>
                  </w:divBdr>
                </w:div>
                <w:div w:id="773866645">
                  <w:marLeft w:val="0"/>
                  <w:marRight w:val="0"/>
                  <w:marTop w:val="0"/>
                  <w:marBottom w:val="0"/>
                  <w:divBdr>
                    <w:top w:val="none" w:sz="0" w:space="0" w:color="auto"/>
                    <w:left w:val="none" w:sz="0" w:space="0" w:color="auto"/>
                    <w:bottom w:val="none" w:sz="0" w:space="0" w:color="auto"/>
                    <w:right w:val="none" w:sz="0" w:space="0" w:color="auto"/>
                  </w:divBdr>
                  <w:divsChild>
                    <w:div w:id="3479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42787">
      <w:bodyDiv w:val="1"/>
      <w:marLeft w:val="0"/>
      <w:marRight w:val="0"/>
      <w:marTop w:val="0"/>
      <w:marBottom w:val="0"/>
      <w:divBdr>
        <w:top w:val="none" w:sz="0" w:space="0" w:color="auto"/>
        <w:left w:val="none" w:sz="0" w:space="0" w:color="auto"/>
        <w:bottom w:val="none" w:sz="0" w:space="0" w:color="auto"/>
        <w:right w:val="none" w:sz="0" w:space="0" w:color="auto"/>
      </w:divBdr>
      <w:divsChild>
        <w:div w:id="996961531">
          <w:marLeft w:val="0"/>
          <w:marRight w:val="0"/>
          <w:marTop w:val="0"/>
          <w:marBottom w:val="0"/>
          <w:divBdr>
            <w:top w:val="none" w:sz="0" w:space="0" w:color="auto"/>
            <w:left w:val="none" w:sz="0" w:space="0" w:color="auto"/>
            <w:bottom w:val="none" w:sz="0" w:space="0" w:color="auto"/>
            <w:right w:val="none" w:sz="0" w:space="0" w:color="auto"/>
          </w:divBdr>
          <w:divsChild>
            <w:div w:id="1321227992">
              <w:marLeft w:val="0"/>
              <w:marRight w:val="0"/>
              <w:marTop w:val="0"/>
              <w:marBottom w:val="0"/>
              <w:divBdr>
                <w:top w:val="none" w:sz="0" w:space="0" w:color="auto"/>
                <w:left w:val="none" w:sz="0" w:space="0" w:color="auto"/>
                <w:bottom w:val="none" w:sz="0" w:space="0" w:color="auto"/>
                <w:right w:val="none" w:sz="0" w:space="0" w:color="auto"/>
              </w:divBdr>
              <w:divsChild>
                <w:div w:id="1037043727">
                  <w:marLeft w:val="0"/>
                  <w:marRight w:val="0"/>
                  <w:marTop w:val="0"/>
                  <w:marBottom w:val="0"/>
                  <w:divBdr>
                    <w:top w:val="none" w:sz="0" w:space="0" w:color="auto"/>
                    <w:left w:val="none" w:sz="0" w:space="0" w:color="auto"/>
                    <w:bottom w:val="none" w:sz="0" w:space="0" w:color="auto"/>
                    <w:right w:val="none" w:sz="0" w:space="0" w:color="auto"/>
                  </w:divBdr>
                </w:div>
                <w:div w:id="1021778807">
                  <w:marLeft w:val="0"/>
                  <w:marRight w:val="0"/>
                  <w:marTop w:val="0"/>
                  <w:marBottom w:val="0"/>
                  <w:divBdr>
                    <w:top w:val="none" w:sz="0" w:space="0" w:color="auto"/>
                    <w:left w:val="none" w:sz="0" w:space="0" w:color="auto"/>
                    <w:bottom w:val="none" w:sz="0" w:space="0" w:color="auto"/>
                    <w:right w:val="none" w:sz="0" w:space="0" w:color="auto"/>
                  </w:divBdr>
                </w:div>
                <w:div w:id="739862617">
                  <w:marLeft w:val="0"/>
                  <w:marRight w:val="0"/>
                  <w:marTop w:val="0"/>
                  <w:marBottom w:val="0"/>
                  <w:divBdr>
                    <w:top w:val="none" w:sz="0" w:space="0" w:color="auto"/>
                    <w:left w:val="none" w:sz="0" w:space="0" w:color="auto"/>
                    <w:bottom w:val="none" w:sz="0" w:space="0" w:color="auto"/>
                    <w:right w:val="none" w:sz="0" w:space="0" w:color="auto"/>
                  </w:divBdr>
                  <w:divsChild>
                    <w:div w:id="8131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yang</cp:lastModifiedBy>
  <cp:revision>5</cp:revision>
  <dcterms:created xsi:type="dcterms:W3CDTF">2015-12-14T08:01:00Z</dcterms:created>
  <dcterms:modified xsi:type="dcterms:W3CDTF">2016-04-19T07:07:00Z</dcterms:modified>
</cp:coreProperties>
</file>