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C2" w:rsidRDefault="00A804C2" w:rsidP="00A804C2">
      <w:pPr>
        <w:autoSpaceDN w:val="0"/>
        <w:spacing w:line="390" w:lineRule="atLeast"/>
        <w:jc w:val="center"/>
        <w:rPr>
          <w:rFonts w:ascii="微软雅黑" w:hAnsi="宋体"/>
          <w:b/>
          <w:color w:val="333333"/>
          <w:sz w:val="36"/>
        </w:rPr>
      </w:pPr>
      <w:r>
        <w:rPr>
          <w:rFonts w:ascii="微软雅黑" w:hAnsi="宋体" w:hint="eastAsia"/>
          <w:b/>
          <w:color w:val="333333"/>
          <w:sz w:val="36"/>
        </w:rPr>
        <w:t>最高人民法院关于发布第一批指导性案例</w:t>
      </w:r>
    </w:p>
    <w:p w:rsidR="00A804C2" w:rsidRDefault="00A804C2" w:rsidP="00A804C2">
      <w:pPr>
        <w:autoSpaceDN w:val="0"/>
        <w:spacing w:line="390" w:lineRule="atLeast"/>
        <w:jc w:val="center"/>
        <w:rPr>
          <w:rFonts w:ascii="微软雅黑" w:hAnsi="宋体"/>
          <w:b/>
          <w:color w:val="333333"/>
          <w:sz w:val="36"/>
        </w:rPr>
      </w:pPr>
      <w:r>
        <w:rPr>
          <w:rFonts w:ascii="微软雅黑" w:hAnsi="宋体" w:hint="eastAsia"/>
          <w:b/>
          <w:color w:val="333333"/>
          <w:sz w:val="36"/>
        </w:rPr>
        <w:t>（第</w:t>
      </w:r>
      <w:r>
        <w:rPr>
          <w:rFonts w:ascii="微软雅黑" w:hAnsi="宋体" w:hint="eastAsia"/>
          <w:b/>
          <w:color w:val="333333"/>
          <w:sz w:val="36"/>
        </w:rPr>
        <w:t>1</w:t>
      </w:r>
      <w:r>
        <w:rPr>
          <w:rFonts w:ascii="微软雅黑" w:hAnsi="宋体" w:hint="eastAsia"/>
          <w:b/>
          <w:color w:val="333333"/>
          <w:sz w:val="36"/>
        </w:rPr>
        <w:t>号</w:t>
      </w:r>
      <w:r>
        <w:rPr>
          <w:rFonts w:ascii="微软雅黑" w:hAnsi="宋体" w:hint="eastAsia"/>
          <w:b/>
          <w:color w:val="333333"/>
          <w:sz w:val="36"/>
        </w:rPr>
        <w:t>---4</w:t>
      </w:r>
      <w:r>
        <w:rPr>
          <w:rFonts w:ascii="微软雅黑" w:hAnsi="宋体" w:hint="eastAsia"/>
          <w:b/>
          <w:color w:val="333333"/>
          <w:sz w:val="36"/>
        </w:rPr>
        <w:t>号）</w:t>
      </w:r>
    </w:p>
    <w:p w:rsidR="00A804C2" w:rsidRPr="00A804C2" w:rsidRDefault="00A804C2" w:rsidP="00A804C2">
      <w:pPr>
        <w:rPr>
          <w:rFonts w:ascii="黑体" w:eastAsia="黑体" w:hAnsi="黑体"/>
          <w:sz w:val="28"/>
          <w:szCs w:val="28"/>
        </w:rPr>
      </w:pPr>
      <w:r w:rsidRPr="00A804C2">
        <w:rPr>
          <w:rFonts w:ascii="黑体" w:eastAsia="黑体" w:hAnsi="黑体" w:hint="eastAsia"/>
          <w:sz w:val="28"/>
          <w:szCs w:val="28"/>
        </w:rPr>
        <w:t>指导案例1号</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上海中原物业顾问有限公司诉陶德华居间合同纠纷案</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（最高人民法院审判委员会讨论通过 2011年12月20日发布）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关键词 民事 居间合同 二手房买卖 违约</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裁判要点</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房屋买卖居间合同中关于禁止买方利用中介公司提供的房源信息却绕开该中介公司与卖方签订房屋买卖合同的约定合法有效。但是，当卖方将同一房屋通过多个中介公司挂牌出售时，买方通过其他公众可以获知的正当途径获得相同房源信息的，买方有权选择报价低、服务好的中介公司促成房屋买卖合同成立，其行为并没有利用先前与之签约中介公司的房源信息，故不构成违约。</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相关法条</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《中华人民共和国合同法》第四百二十四条</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基本案情</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原告上海中原物业顾问有限公司（简称中原公司）诉称：被告陶德华利用中原公司提供的上海市虹口区</w:t>
      </w:r>
      <w:proofErr w:type="gramStart"/>
      <w:r w:rsidRPr="00A804C2">
        <w:rPr>
          <w:rFonts w:ascii="仿宋_GB2312" w:eastAsia="仿宋_GB2312" w:hint="eastAsia"/>
          <w:sz w:val="28"/>
          <w:szCs w:val="28"/>
        </w:rPr>
        <w:t>株洲路</w:t>
      </w:r>
      <w:proofErr w:type="gramEnd"/>
      <w:r w:rsidRPr="00A804C2">
        <w:rPr>
          <w:rFonts w:ascii="仿宋_GB2312" w:eastAsia="仿宋_GB2312" w:hint="eastAsia"/>
          <w:sz w:val="28"/>
          <w:szCs w:val="28"/>
        </w:rPr>
        <w:t>某号房屋销售信息，故意跳过中介，私自与卖方直接签订购房合同，违反了《房地产求购确认书》的约定，属于恶意“跳单”行为，请求法院判令陶德华按约支付中原公司违约金1.65万元。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被告陶德华辩称：涉案房屋原产权人李某某委托多家中介公司出售房屋，中原公司并非独家掌握该房源信息，也非独家代理销售。陶德华并没有利用中原公</w:t>
      </w:r>
      <w:r w:rsidRPr="00A804C2">
        <w:rPr>
          <w:rFonts w:ascii="仿宋_GB2312" w:eastAsia="仿宋_GB2312" w:hint="eastAsia"/>
          <w:sz w:val="28"/>
          <w:szCs w:val="28"/>
        </w:rPr>
        <w:lastRenderedPageBreak/>
        <w:t>司提供的信息，不存在“跳单”违约行为。</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法院经审理查明：2008年下半年，原产权人李某某到多家房屋中介公司挂牌销售涉案房屋。2008年10月22日，上海某房地产经纪有限公司带陶德华看了该房屋；11月23日，上海某房地产顾问有限公司(简称某房地产顾问公司)带陶德华之妻曹某某看了该房屋；11月27日，中原公司带陶德华看了该房屋，并于同日与陶德华签订了《房地产求购确认书》。该《确认书》第2.4条约定，陶德华在验看过该房地产后六个月内，陶德华或其委托人、代理人、代表人、承办人等与陶德华有关联的人，利用中原公司提供的信息、机会等条件但未通过中原公司而与第三方达成买卖交易的，陶德华应按照与出卖方就该房地产买卖达成的实际成交价的1%，向中原公司支付违约金。当时中原公司对该房屋报价165万元，而某房地产顾问公司报价145万元，并积极与卖方协商价格。11月30日，在某房地产顾问公司居间下，陶德华与卖方签订了房屋买卖合同，成交价138万元。后买卖双方办理了过户手续，陶德华向某房地产顾问公司支付佣金1. 38万元。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裁判结果</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上海市虹口区人民法院于2009年6月23日</w:t>
      </w:r>
      <w:proofErr w:type="gramStart"/>
      <w:r w:rsidRPr="00A804C2">
        <w:rPr>
          <w:rFonts w:ascii="仿宋_GB2312" w:eastAsia="仿宋_GB2312" w:hint="eastAsia"/>
          <w:sz w:val="28"/>
          <w:szCs w:val="28"/>
        </w:rPr>
        <w:t>作出</w:t>
      </w:r>
      <w:proofErr w:type="gramEnd"/>
      <w:r w:rsidRPr="00A804C2">
        <w:rPr>
          <w:rFonts w:ascii="仿宋_GB2312" w:eastAsia="仿宋_GB2312" w:hint="eastAsia"/>
          <w:sz w:val="28"/>
          <w:szCs w:val="28"/>
        </w:rPr>
        <w:t>（2009）</w:t>
      </w:r>
      <w:proofErr w:type="gramStart"/>
      <w:r w:rsidRPr="00A804C2">
        <w:rPr>
          <w:rFonts w:ascii="仿宋_GB2312" w:eastAsia="仿宋_GB2312" w:hint="eastAsia"/>
          <w:sz w:val="28"/>
          <w:szCs w:val="28"/>
        </w:rPr>
        <w:t>虹民三</w:t>
      </w:r>
      <w:proofErr w:type="gramEnd"/>
      <w:r w:rsidRPr="00A804C2">
        <w:rPr>
          <w:rFonts w:ascii="仿宋_GB2312" w:eastAsia="仿宋_GB2312" w:hint="eastAsia"/>
          <w:sz w:val="28"/>
          <w:szCs w:val="28"/>
        </w:rPr>
        <w:t>（民）初字第912号民事判决：被告陶德华应于判决生效之日起十日内向原告中原公司支付违约金1.38万元。宣判后，陶德华提出上诉。上海市第二中级人民法院于2009年9月4日</w:t>
      </w:r>
      <w:proofErr w:type="gramStart"/>
      <w:r w:rsidRPr="00A804C2">
        <w:rPr>
          <w:rFonts w:ascii="仿宋_GB2312" w:eastAsia="仿宋_GB2312" w:hint="eastAsia"/>
          <w:sz w:val="28"/>
          <w:szCs w:val="28"/>
        </w:rPr>
        <w:t>作出</w:t>
      </w:r>
      <w:proofErr w:type="gramEnd"/>
      <w:r w:rsidRPr="00A804C2">
        <w:rPr>
          <w:rFonts w:ascii="仿宋_GB2312" w:eastAsia="仿宋_GB2312" w:hint="eastAsia"/>
          <w:sz w:val="28"/>
          <w:szCs w:val="28"/>
        </w:rPr>
        <w:t>（2009）沪二中民二（民）终字第1508号民事判决：一、撤销上海市虹口区人民法院(2009)</w:t>
      </w:r>
      <w:proofErr w:type="gramStart"/>
      <w:r w:rsidRPr="00A804C2">
        <w:rPr>
          <w:rFonts w:ascii="仿宋_GB2312" w:eastAsia="仿宋_GB2312" w:hint="eastAsia"/>
          <w:sz w:val="28"/>
          <w:szCs w:val="28"/>
        </w:rPr>
        <w:t>虹民三</w:t>
      </w:r>
      <w:proofErr w:type="gramEnd"/>
      <w:r w:rsidRPr="00A804C2">
        <w:rPr>
          <w:rFonts w:ascii="仿宋_GB2312" w:eastAsia="仿宋_GB2312" w:hint="eastAsia"/>
          <w:sz w:val="28"/>
          <w:szCs w:val="28"/>
        </w:rPr>
        <w:t>(民)初字第912号民事判决；二、中原公司要求陶德华支付违约金1.65万元的诉讼请求，不予支持。</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裁判理由</w:t>
      </w:r>
    </w:p>
    <w:p w:rsid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法院生效裁判认为：中原公司与陶德华签订的《房地产求购确认书》属于居间合同性质，其中第2.4条的约定，属于房屋买卖居间合同中常有的禁止“跳单”格</w:t>
      </w:r>
      <w:r w:rsidRPr="00A804C2">
        <w:rPr>
          <w:rFonts w:ascii="仿宋_GB2312" w:eastAsia="仿宋_GB2312" w:hint="eastAsia"/>
          <w:sz w:val="28"/>
          <w:szCs w:val="28"/>
        </w:rPr>
        <w:lastRenderedPageBreak/>
        <w:t>式条款，其本意是为防止买方利用中介公司提供的房源信息却“跳”过中介公司购买房屋，从而使中介公司无法得到应得的佣金，该约定并不存在免除一方责任、加重对方责任、排除对方主要权利的情形，应认定有效。根据该条约定，衡量买方是否“跳单”违约的关键，是看买方是否利用了该中介公司提供的房源信息、机会等条件。如果买方并未利用该中介公司提供的信息、机会等条件，而是通过其他公众可以获知的正当途径获得同一房源信息，则买方有权选择报价低、服务好的中介公司促成房屋买卖合同成立，而不构成“跳单”违约。本案中，原产权人通过多家中介公司挂牌出售同一房屋，陶德华及其家人分别通过不同的中介公司了解到同一房源信息，并通过其他中介公司促成了房屋买卖合同成立。因此，陶德华并没有利用中原公司的信息、机会，故不构成违约，对中原公司的诉讼请求</w:t>
      </w:r>
      <w:r>
        <w:rPr>
          <w:rFonts w:ascii="仿宋_GB2312" w:eastAsia="仿宋_GB2312" w:hint="eastAsia"/>
          <w:sz w:val="28"/>
          <w:szCs w:val="28"/>
        </w:rPr>
        <w:t>。</w:t>
      </w:r>
    </w:p>
    <w:p w:rsidR="00A804C2" w:rsidRPr="00A804C2" w:rsidRDefault="00A804C2" w:rsidP="00A804C2">
      <w:pPr>
        <w:spacing w:beforeLines="50" w:before="156" w:afterLines="50" w:after="156" w:line="560" w:lineRule="exact"/>
        <w:rPr>
          <w:rFonts w:ascii="黑体" w:eastAsia="黑体" w:hAnsi="黑体"/>
          <w:sz w:val="28"/>
          <w:szCs w:val="28"/>
        </w:rPr>
      </w:pPr>
      <w:bookmarkStart w:id="0" w:name="_GoBack"/>
      <w:bookmarkEnd w:id="0"/>
      <w:r w:rsidRPr="00A804C2">
        <w:rPr>
          <w:rFonts w:ascii="黑体" w:eastAsia="黑体" w:hAnsi="黑体" w:hint="eastAsia"/>
          <w:sz w:val="28"/>
          <w:szCs w:val="28"/>
        </w:rPr>
        <w:t>指导案例2号</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吴</w:t>
      </w:r>
      <w:proofErr w:type="gramStart"/>
      <w:r w:rsidRPr="00A804C2">
        <w:rPr>
          <w:rFonts w:ascii="仿宋_GB2312" w:eastAsia="仿宋_GB2312" w:hint="eastAsia"/>
          <w:sz w:val="28"/>
          <w:szCs w:val="28"/>
        </w:rPr>
        <w:t>梅诉四川省眉</w:t>
      </w:r>
      <w:proofErr w:type="gramEnd"/>
      <w:r w:rsidRPr="00A804C2">
        <w:rPr>
          <w:rFonts w:ascii="仿宋_GB2312" w:eastAsia="仿宋_GB2312" w:hint="eastAsia"/>
          <w:sz w:val="28"/>
          <w:szCs w:val="28"/>
        </w:rPr>
        <w:t>山西城纸业有限公司买卖合同纠纷案</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（最高人民法院审判委员会讨论通过 2011年12月20日发布）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关键词 民事诉讼 执行和解 撤回上诉 不履行和解协议 申请执行 一审判决</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裁判要点</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民事案件二审期间，双方当事人达成和解协议，人民法院准许撤回上诉的，该和解协议未经人民法院依法制作调解书，属于诉讼外达成的协议。一方当事人不履行和解协议，另一方当事人申请执行一审判决的，人民法院应</w:t>
      </w:r>
      <w:proofErr w:type="gramStart"/>
      <w:r w:rsidRPr="00A804C2">
        <w:rPr>
          <w:rFonts w:ascii="仿宋_GB2312" w:eastAsia="仿宋_GB2312" w:hint="eastAsia"/>
          <w:sz w:val="28"/>
          <w:szCs w:val="28"/>
        </w:rPr>
        <w:t>予支</w:t>
      </w:r>
      <w:proofErr w:type="gramEnd"/>
      <w:r w:rsidRPr="00A804C2">
        <w:rPr>
          <w:rFonts w:ascii="仿宋_GB2312" w:eastAsia="仿宋_GB2312" w:hint="eastAsia"/>
          <w:sz w:val="28"/>
          <w:szCs w:val="28"/>
        </w:rPr>
        <w:t>持。</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相关法条</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《中华人民共和国民事诉讼法》第二百零七条第二款</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基本案情</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原告吴梅系四川省眉山市</w:t>
      </w:r>
      <w:proofErr w:type="gramStart"/>
      <w:r w:rsidRPr="00A804C2">
        <w:rPr>
          <w:rFonts w:ascii="仿宋_GB2312" w:eastAsia="仿宋_GB2312" w:hint="eastAsia"/>
          <w:sz w:val="28"/>
          <w:szCs w:val="28"/>
        </w:rPr>
        <w:t>东坡区吴梅</w:t>
      </w:r>
      <w:proofErr w:type="gramEnd"/>
      <w:r w:rsidRPr="00A804C2">
        <w:rPr>
          <w:rFonts w:ascii="仿宋_GB2312" w:eastAsia="仿宋_GB2312" w:hint="eastAsia"/>
          <w:sz w:val="28"/>
          <w:szCs w:val="28"/>
        </w:rPr>
        <w:t>收旧站业主，从事废品收购业务。约自2004年开始，吴梅出售废书给被告四川省</w:t>
      </w:r>
      <w:proofErr w:type="gramStart"/>
      <w:r w:rsidRPr="00A804C2">
        <w:rPr>
          <w:rFonts w:ascii="仿宋_GB2312" w:eastAsia="仿宋_GB2312" w:hint="eastAsia"/>
          <w:sz w:val="28"/>
          <w:szCs w:val="28"/>
        </w:rPr>
        <w:t>眉</w:t>
      </w:r>
      <w:proofErr w:type="gramEnd"/>
      <w:r w:rsidRPr="00A804C2">
        <w:rPr>
          <w:rFonts w:ascii="仿宋_GB2312" w:eastAsia="仿宋_GB2312" w:hint="eastAsia"/>
          <w:sz w:val="28"/>
          <w:szCs w:val="28"/>
        </w:rPr>
        <w:t>山西城纸业有限公司（简称西城纸业公司）。2009年4月14日双方通过结算，西城纸业公司向吴梅出具欠条载明：今欠到吴梅废书款壹佰玖拾柒万元整（￥1970000.00）。同年6月11日，双方又对后期货款进行了结算，西城纸业公司向吴梅出具欠条载明：今欠到吴梅废书款</w:t>
      </w:r>
      <w:proofErr w:type="gramStart"/>
      <w:r w:rsidRPr="00A804C2">
        <w:rPr>
          <w:rFonts w:ascii="仿宋_GB2312" w:eastAsia="仿宋_GB2312" w:hint="eastAsia"/>
          <w:sz w:val="28"/>
          <w:szCs w:val="28"/>
        </w:rPr>
        <w:t>伍拾肆万捌仟</w:t>
      </w:r>
      <w:proofErr w:type="gramEnd"/>
      <w:r w:rsidRPr="00A804C2">
        <w:rPr>
          <w:rFonts w:ascii="仿宋_GB2312" w:eastAsia="仿宋_GB2312" w:hint="eastAsia"/>
          <w:sz w:val="28"/>
          <w:szCs w:val="28"/>
        </w:rPr>
        <w:t>元整（￥548000.00）。因经多次催收上述货款无果，吴梅向眉山市</w:t>
      </w:r>
      <w:proofErr w:type="gramStart"/>
      <w:r w:rsidRPr="00A804C2">
        <w:rPr>
          <w:rFonts w:ascii="仿宋_GB2312" w:eastAsia="仿宋_GB2312" w:hint="eastAsia"/>
          <w:sz w:val="28"/>
          <w:szCs w:val="28"/>
        </w:rPr>
        <w:t>东坡区人民法院</w:t>
      </w:r>
      <w:proofErr w:type="gramEnd"/>
      <w:r w:rsidRPr="00A804C2">
        <w:rPr>
          <w:rFonts w:ascii="仿宋_GB2312" w:eastAsia="仿宋_GB2312" w:hint="eastAsia"/>
          <w:sz w:val="28"/>
          <w:szCs w:val="28"/>
        </w:rPr>
        <w:t>起诉，请求法院判令西城纸业公司支付货款251.8万元及利息。被告西城纸业公司对欠吴梅货款251.8万元没有异议。</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一审法院经审理后判决：被告西城纸业公司在判决生效之日起十日内给付原告吴梅货款251.8万元及违约利息。宣判后，西城纸业公司向眉山市中级人民法院提起上诉。二审审理期间，西城纸业公司于2009年10月15日与吴梅签订了一份还款协议，商定西城纸业公司的还款计划，吴梅则放弃了支付利息的请求。同年10月20日，西城纸业公司以自愿与对方达成和解协议为由申请撤回上诉。眉山市中级人民法院裁定准予撤诉后，因西城纸业公司未完全履行和解协议，吴梅向一审法院申请执行一审判决。眉山市</w:t>
      </w:r>
      <w:proofErr w:type="gramStart"/>
      <w:r w:rsidRPr="00A804C2">
        <w:rPr>
          <w:rFonts w:ascii="仿宋_GB2312" w:eastAsia="仿宋_GB2312" w:hint="eastAsia"/>
          <w:sz w:val="28"/>
          <w:szCs w:val="28"/>
        </w:rPr>
        <w:t>东坡区人民法院</w:t>
      </w:r>
      <w:proofErr w:type="gramEnd"/>
      <w:r w:rsidRPr="00A804C2">
        <w:rPr>
          <w:rFonts w:ascii="仿宋_GB2312" w:eastAsia="仿宋_GB2312" w:hint="eastAsia"/>
          <w:sz w:val="28"/>
          <w:szCs w:val="28"/>
        </w:rPr>
        <w:t>对吴梅申请执行一审判决予以支持。西城纸业公司向眉山市中级人民法院申请执行监督，主张不予执行原一审判决。</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裁判结果</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眉山市中级人民法院于2010年7月7日</w:t>
      </w:r>
      <w:proofErr w:type="gramStart"/>
      <w:r w:rsidRPr="00A804C2">
        <w:rPr>
          <w:rFonts w:ascii="仿宋_GB2312" w:eastAsia="仿宋_GB2312" w:hint="eastAsia"/>
          <w:sz w:val="28"/>
          <w:szCs w:val="28"/>
        </w:rPr>
        <w:t>作出</w:t>
      </w:r>
      <w:proofErr w:type="gramEnd"/>
      <w:r w:rsidRPr="00A804C2">
        <w:rPr>
          <w:rFonts w:ascii="仿宋_GB2312" w:eastAsia="仿宋_GB2312" w:hint="eastAsia"/>
          <w:sz w:val="28"/>
          <w:szCs w:val="28"/>
        </w:rPr>
        <w:t>（2010）</w:t>
      </w:r>
      <w:proofErr w:type="gramStart"/>
      <w:r w:rsidRPr="00A804C2">
        <w:rPr>
          <w:rFonts w:ascii="仿宋_GB2312" w:eastAsia="仿宋_GB2312" w:hint="eastAsia"/>
          <w:sz w:val="28"/>
          <w:szCs w:val="28"/>
        </w:rPr>
        <w:t>眉执督</w:t>
      </w:r>
      <w:proofErr w:type="gramEnd"/>
      <w:r w:rsidRPr="00A804C2">
        <w:rPr>
          <w:rFonts w:ascii="仿宋_GB2312" w:eastAsia="仿宋_GB2312" w:hint="eastAsia"/>
          <w:sz w:val="28"/>
          <w:szCs w:val="28"/>
        </w:rPr>
        <w:t>字第4号复函认为：根据吴梅的申请，一审法院受理执行已生效法律文书并无不当，应当继续执行。</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裁判理由</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法院认为：西城纸业公司对于撤诉的法律后果应当明知，即一旦法院裁定准予其撤回上诉，眉山市</w:t>
      </w:r>
      <w:proofErr w:type="gramStart"/>
      <w:r w:rsidRPr="00A804C2">
        <w:rPr>
          <w:rFonts w:ascii="仿宋_GB2312" w:eastAsia="仿宋_GB2312" w:hint="eastAsia"/>
          <w:sz w:val="28"/>
          <w:szCs w:val="28"/>
        </w:rPr>
        <w:t>东坡区人民法院</w:t>
      </w:r>
      <w:proofErr w:type="gramEnd"/>
      <w:r w:rsidRPr="00A804C2">
        <w:rPr>
          <w:rFonts w:ascii="仿宋_GB2312" w:eastAsia="仿宋_GB2312" w:hint="eastAsia"/>
          <w:sz w:val="28"/>
          <w:szCs w:val="28"/>
        </w:rPr>
        <w:t>的一审判决即为生效判决，具有强制执行的效力。虽然二审期间双方在自愿基础上达成的和解协议对相关权利义务做出约定，西城纸业公司因该协议的签订而放弃行使上诉权，吴梅则放弃了利息，但是该和解协议属于双方当事人诉讼外达成的协议，未经人民法院依法确认制作调解书，不具有强制执行力。西城纸业公司未按和解协议履行还款义务，违背了双方约定和诚实信用原则，故对其以双方达成和解协议为由，主张不予执行原生效判决的请求不予支持。不予支持。</w:t>
      </w:r>
    </w:p>
    <w:p w:rsidR="00A804C2" w:rsidRPr="00A804C2" w:rsidRDefault="00A804C2" w:rsidP="00A804C2">
      <w:pPr>
        <w:spacing w:beforeLines="50" w:before="156" w:afterLines="50" w:after="156" w:line="560" w:lineRule="exact"/>
        <w:rPr>
          <w:rFonts w:ascii="黑体" w:eastAsia="黑体" w:hAnsi="黑体"/>
          <w:sz w:val="28"/>
          <w:szCs w:val="28"/>
        </w:rPr>
      </w:pPr>
      <w:r w:rsidRPr="00A804C2">
        <w:rPr>
          <w:rFonts w:ascii="黑体" w:eastAsia="黑体" w:hAnsi="黑体" w:hint="eastAsia"/>
          <w:sz w:val="28"/>
          <w:szCs w:val="28"/>
        </w:rPr>
        <w:t>指导案例3号</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潘玉梅、陈宁受贿案</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（最高人民法院审判委员会讨论通过 2011年12月20日发布）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关键词 刑事 受贿罪 “合办”公司受贿 低价购房受贿</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承诺谋利 受贿数额计算 掩饰受贿退赃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裁判要点</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1.国家工作人员利用职务上的便利为请托人谋取利益，并与请托人以“合办”公司的名义获取“利润”，没有实际出资和参与经营管理的，以受贿论处。</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2.国家工作人员明知他人有请托事项而收受其财物，视为承诺“为他人谋取利益”，是否已实际为他人谋取利益或谋取到利益，不影响受贿的认定。</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3.国家工作人员利用职务上的便利为请托人谋取利益，以明显低于市场的价格向请托人购买房屋等物品的，以受贿论处，受贿数额按照交易时当地市场价格与实际支付价格的差额计算。</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4.国家工作人员收受财物后，因与其受贿有关联的人、事被查处，为掩饰犯罪而退还的，不影响认定受贿罪。</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相关法条 </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《中华人民共和国刑法》第三百八十五条第一款</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基本案情</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2003年8、9月间，被告人潘玉梅、陈宁分别利用担任江苏省南京市栖霞区迈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桥街道工委书记、迈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桥办事处主任的职务便利，为南京某房地产开发有限公司总经理陈某在迈</w:t>
      </w:r>
      <w:proofErr w:type="gramStart"/>
      <w:r w:rsidRPr="00A804C2">
        <w:rPr>
          <w:rFonts w:ascii="仿宋_GB2312" w:eastAsia="仿宋_GB2312" w:hint="eastAsia"/>
          <w:sz w:val="28"/>
          <w:szCs w:val="28"/>
        </w:rPr>
        <w:t>皋桥创业</w:t>
      </w:r>
      <w:proofErr w:type="gramEnd"/>
      <w:r w:rsidRPr="00A804C2">
        <w:rPr>
          <w:rFonts w:ascii="仿宋_GB2312" w:eastAsia="仿宋_GB2312" w:hint="eastAsia"/>
          <w:sz w:val="28"/>
          <w:szCs w:val="28"/>
        </w:rPr>
        <w:t>园区低价获取100亩土地等提供帮助，并于9月3日分别以其亲属名义与陈某共同注册成立南京多贺工贸有限责任公司（简称多贺公司），以“开发”上述土地。潘玉梅、陈宁既未实际出资，也未参与该公司经营管理。2004年6月，陈某以多</w:t>
      </w:r>
      <w:proofErr w:type="gramStart"/>
      <w:r w:rsidRPr="00A804C2">
        <w:rPr>
          <w:rFonts w:ascii="仿宋_GB2312" w:eastAsia="仿宋_GB2312" w:hint="eastAsia"/>
          <w:sz w:val="28"/>
          <w:szCs w:val="28"/>
        </w:rPr>
        <w:t>贺公司</w:t>
      </w:r>
      <w:proofErr w:type="gramEnd"/>
      <w:r w:rsidRPr="00A804C2">
        <w:rPr>
          <w:rFonts w:ascii="仿宋_GB2312" w:eastAsia="仿宋_GB2312" w:hint="eastAsia"/>
          <w:sz w:val="28"/>
          <w:szCs w:val="28"/>
        </w:rPr>
        <w:t>的名义将该公司及其土地转让给南京某体育用品有限公司，潘玉梅、陈宁以参与利润分配名义，分别收受陈某给予的480万元。2007年3月，陈宁因潘玉梅被调查，在美国出差期间安排其驾驶员退给陈某80万元。案发后，潘玉梅、陈宁所得赃款及赃款收益均被依法追缴。</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2004年2月至10月，被告人潘玉梅、陈宁分别利用担任迈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桥街道工委书记、迈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桥办事处主任的职务之便，为南京某置业发展有限公司在迈</w:t>
      </w:r>
      <w:proofErr w:type="gramStart"/>
      <w:r w:rsidRPr="00A804C2">
        <w:rPr>
          <w:rFonts w:ascii="仿宋_GB2312" w:eastAsia="仿宋_GB2312" w:hint="eastAsia"/>
          <w:sz w:val="28"/>
          <w:szCs w:val="28"/>
        </w:rPr>
        <w:t>皋桥创业园购买</w:t>
      </w:r>
      <w:proofErr w:type="gramEnd"/>
      <w:r w:rsidRPr="00A804C2">
        <w:rPr>
          <w:rFonts w:ascii="仿宋_GB2312" w:eastAsia="仿宋_GB2312" w:hint="eastAsia"/>
          <w:sz w:val="28"/>
          <w:szCs w:val="28"/>
        </w:rPr>
        <w:t>土地提供帮助，并先后4次各收受该公司总经理吴某某给予的50万元。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2004年上半年，被告人潘玉梅利用担任迈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街道工委书记的职务便利，为南京某发展有限公司受让金桥大厦项目减免100万元费用提供帮助，并在购买对方开发的一处房产时接受该公司总经理许某某为其支付的房屋差价款和相关税费61万余元（房价含税费121.0817万元，</w:t>
      </w:r>
      <w:proofErr w:type="gramStart"/>
      <w:r w:rsidRPr="00A804C2">
        <w:rPr>
          <w:rFonts w:ascii="仿宋_GB2312" w:eastAsia="仿宋_GB2312" w:hint="eastAsia"/>
          <w:sz w:val="28"/>
          <w:szCs w:val="28"/>
        </w:rPr>
        <w:t>潘</w:t>
      </w:r>
      <w:proofErr w:type="gramEnd"/>
      <w:r w:rsidRPr="00A804C2">
        <w:rPr>
          <w:rFonts w:ascii="仿宋_GB2312" w:eastAsia="仿宋_GB2312" w:hint="eastAsia"/>
          <w:sz w:val="28"/>
          <w:szCs w:val="28"/>
        </w:rPr>
        <w:t>支付60万元）。2006年4月，潘玉梅因检察机关从许某某的公司账上已掌握其购房仅支付部分款项的情况而补还给许某某55万元。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此外，2000年春节前至2006年12月，被告人潘玉梅利用职务便利，先后收受迈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桥办事处</w:t>
      </w:r>
      <w:proofErr w:type="gramStart"/>
      <w:r w:rsidRPr="00A804C2">
        <w:rPr>
          <w:rFonts w:ascii="仿宋_GB2312" w:eastAsia="仿宋_GB2312" w:hint="eastAsia"/>
          <w:sz w:val="28"/>
          <w:szCs w:val="28"/>
        </w:rPr>
        <w:t>一</w:t>
      </w:r>
      <w:proofErr w:type="gramEnd"/>
      <w:r w:rsidRPr="00A804C2">
        <w:rPr>
          <w:rFonts w:ascii="仿宋_GB2312" w:eastAsia="仿宋_GB2312" w:hint="eastAsia"/>
          <w:sz w:val="28"/>
          <w:szCs w:val="28"/>
        </w:rPr>
        <w:t>党支部书记兼南京某商贸有限责任公司总经理高某某人民币201万元和美元49万元、浙江某房地产集团南京置业有限公司范某某美元1万元。2002年至2005年间，被告人陈宁利用职务便利，先后收受迈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桥办事处</w:t>
      </w:r>
      <w:proofErr w:type="gramStart"/>
      <w:r w:rsidRPr="00A804C2">
        <w:rPr>
          <w:rFonts w:ascii="仿宋_GB2312" w:eastAsia="仿宋_GB2312" w:hint="eastAsia"/>
          <w:sz w:val="28"/>
          <w:szCs w:val="28"/>
        </w:rPr>
        <w:t>一</w:t>
      </w:r>
      <w:proofErr w:type="gramEnd"/>
      <w:r w:rsidRPr="00A804C2">
        <w:rPr>
          <w:rFonts w:ascii="仿宋_GB2312" w:eastAsia="仿宋_GB2312" w:hint="eastAsia"/>
          <w:sz w:val="28"/>
          <w:szCs w:val="28"/>
        </w:rPr>
        <w:t>党支部书记高某某21万元、迈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桥办事处副主任刘某8万元。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综上，被告人潘玉梅收受贿赂人民币792万余元、美元50万元（折合人民币398.1234万元），共计收受贿赂1190.2万余元；被告人陈宁收受贿赂559万元。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裁判结果</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江苏省南京市中级人民法院于2009年2月25日以（2008）</w:t>
      </w:r>
      <w:proofErr w:type="gramStart"/>
      <w:r w:rsidRPr="00A804C2">
        <w:rPr>
          <w:rFonts w:ascii="仿宋_GB2312" w:eastAsia="仿宋_GB2312" w:hint="eastAsia"/>
          <w:sz w:val="28"/>
          <w:szCs w:val="28"/>
        </w:rPr>
        <w:t>宁刑初</w:t>
      </w:r>
      <w:proofErr w:type="gramEnd"/>
      <w:r w:rsidRPr="00A804C2">
        <w:rPr>
          <w:rFonts w:ascii="仿宋_GB2312" w:eastAsia="仿宋_GB2312" w:hint="eastAsia"/>
          <w:sz w:val="28"/>
          <w:szCs w:val="28"/>
        </w:rPr>
        <w:t>字第49号刑事判决，认定被告人潘玉梅犯受贿罪，判处死刑，缓期二年执行，剥夺政治权利终身，并处没收个人全部财产；被告人陈宁犯受贿罪，判处无期徒刑，剥夺政治权利终身，并处没收个人全部财产。宣判后，潘玉梅、陈宁提出上诉。江苏省高级人民法院于2009年11月30日以同样的事实和理由</w:t>
      </w:r>
      <w:proofErr w:type="gramStart"/>
      <w:r w:rsidRPr="00A804C2">
        <w:rPr>
          <w:rFonts w:ascii="仿宋_GB2312" w:eastAsia="仿宋_GB2312" w:hint="eastAsia"/>
          <w:sz w:val="28"/>
          <w:szCs w:val="28"/>
        </w:rPr>
        <w:t>作出</w:t>
      </w:r>
      <w:proofErr w:type="gramEnd"/>
      <w:r w:rsidRPr="00A804C2">
        <w:rPr>
          <w:rFonts w:ascii="仿宋_GB2312" w:eastAsia="仿宋_GB2312" w:hint="eastAsia"/>
          <w:sz w:val="28"/>
          <w:szCs w:val="28"/>
        </w:rPr>
        <w:t>（2009）</w:t>
      </w:r>
      <w:proofErr w:type="gramStart"/>
      <w:r w:rsidRPr="00A804C2">
        <w:rPr>
          <w:rFonts w:ascii="仿宋_GB2312" w:eastAsia="仿宋_GB2312" w:hint="eastAsia"/>
          <w:sz w:val="28"/>
          <w:szCs w:val="28"/>
        </w:rPr>
        <w:t>苏刑二终</w:t>
      </w:r>
      <w:proofErr w:type="gramEnd"/>
      <w:r w:rsidRPr="00A804C2">
        <w:rPr>
          <w:rFonts w:ascii="仿宋_GB2312" w:eastAsia="仿宋_GB2312" w:hint="eastAsia"/>
          <w:sz w:val="28"/>
          <w:szCs w:val="28"/>
        </w:rPr>
        <w:t>字第0028号刑事裁定，驳回上诉，维持原判，并核准一审以受贿罪判处被告人潘玉梅死刑，缓期二年执行，剥夺政治权利终身，并处没收个人全部财产的刑事判决。</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裁判理由</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法院生效裁判认为：关于被告人潘玉梅、陈宁及其辩护人提出二被告人与陈某共同开办多</w:t>
      </w:r>
      <w:proofErr w:type="gramStart"/>
      <w:r w:rsidRPr="00A804C2">
        <w:rPr>
          <w:rFonts w:ascii="仿宋_GB2312" w:eastAsia="仿宋_GB2312" w:hint="eastAsia"/>
          <w:sz w:val="28"/>
          <w:szCs w:val="28"/>
        </w:rPr>
        <w:t>贺公司</w:t>
      </w:r>
      <w:proofErr w:type="gramEnd"/>
      <w:r w:rsidRPr="00A804C2">
        <w:rPr>
          <w:rFonts w:ascii="仿宋_GB2312" w:eastAsia="仿宋_GB2312" w:hint="eastAsia"/>
          <w:sz w:val="28"/>
          <w:szCs w:val="28"/>
        </w:rPr>
        <w:t>开发土地获取“利润”480万元不应认定为受贿的辩护意见。经查，潘玉梅时任迈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桥街道工委书记，陈宁时任迈</w:t>
      </w:r>
      <w:proofErr w:type="gramStart"/>
      <w:r w:rsidRPr="00A804C2">
        <w:rPr>
          <w:rFonts w:ascii="仿宋_GB2312" w:eastAsia="仿宋_GB2312" w:hint="eastAsia"/>
          <w:sz w:val="28"/>
          <w:szCs w:val="28"/>
        </w:rPr>
        <w:t>皋</w:t>
      </w:r>
      <w:proofErr w:type="gramEnd"/>
      <w:r w:rsidRPr="00A804C2">
        <w:rPr>
          <w:rFonts w:ascii="仿宋_GB2312" w:eastAsia="仿宋_GB2312" w:hint="eastAsia"/>
          <w:sz w:val="28"/>
          <w:szCs w:val="28"/>
        </w:rPr>
        <w:t>桥街道办事处主任，对迈</w:t>
      </w:r>
      <w:proofErr w:type="gramStart"/>
      <w:r w:rsidRPr="00A804C2">
        <w:rPr>
          <w:rFonts w:ascii="仿宋_GB2312" w:eastAsia="仿宋_GB2312" w:hint="eastAsia"/>
          <w:sz w:val="28"/>
          <w:szCs w:val="28"/>
        </w:rPr>
        <w:t>皋桥创业</w:t>
      </w:r>
      <w:proofErr w:type="gramEnd"/>
      <w:r w:rsidRPr="00A804C2">
        <w:rPr>
          <w:rFonts w:ascii="仿宋_GB2312" w:eastAsia="仿宋_GB2312" w:hint="eastAsia"/>
          <w:sz w:val="28"/>
          <w:szCs w:val="28"/>
        </w:rPr>
        <w:t>园区的招商工作、土地转让负有领导或协调职责，二人分别利用各自职务便利，为陈某低价取得创业园区的土地等提供了帮助，属于利用职务上的便利为他人谋取利益；在此期间，潘玉梅、陈宁与陈某商议合作成立多</w:t>
      </w:r>
      <w:proofErr w:type="gramStart"/>
      <w:r w:rsidRPr="00A804C2">
        <w:rPr>
          <w:rFonts w:ascii="仿宋_GB2312" w:eastAsia="仿宋_GB2312" w:hint="eastAsia"/>
          <w:sz w:val="28"/>
          <w:szCs w:val="28"/>
        </w:rPr>
        <w:t>贺公司</w:t>
      </w:r>
      <w:proofErr w:type="gramEnd"/>
      <w:r w:rsidRPr="00A804C2">
        <w:rPr>
          <w:rFonts w:ascii="仿宋_GB2312" w:eastAsia="仿宋_GB2312" w:hint="eastAsia"/>
          <w:sz w:val="28"/>
          <w:szCs w:val="28"/>
        </w:rPr>
        <w:t>用于开发上述土地，公司注册资金全部来源于陈某，潘玉梅、陈宁既未实际出资，也未参与公司的经营管理。因此，潘玉梅、陈宁利用职务便利为陈某谋取利益，以与陈某合办公司开发该土地的名义而分别获取的480万元，并非所谓的公司利润，而是利用职务便利使陈某低价获取土地并转卖后获利的一部分，体现了受贿罪权钱交易的本质，属于以合办公司为名的变相受贿，应以受贿论处。</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关于被告人潘玉梅及其辩护人提出潘玉梅没有为许某某实际谋取利益的辩护意见。经查，请托人许某某向潘玉梅行贿时，要求在受让金桥大厦项目中减免100万元的费用，潘玉梅明知许某某有请托事项而收受贿赂；虽然该请托事项没有实现，但“为他人谋取利益”包括承诺、实施和实现不同阶段的行为，只要具有其中一项，就属于为他人谋取利益。承诺“为他人谋取利益”，可以从为他人谋取利益的明示或默示的意思表示予以认定。潘玉梅明知他人有请托事项而收受其财物，应视为承诺为他人谋取利益，至于是否已实际为他人谋取利益或谋取到利益，只是受贿的情节问题，不影响受贿的认定。</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关于被告人潘玉梅及其辩护人提出潘玉梅购买许某某的房产不应认定为受贿的辩护意见。经查，潘玉梅购买的房产，市场价格含税费共计应为121万余元，潘玉梅仅支付60万元，明显低于该房产交易时当地市场价格。潘玉梅利用职务之便为请托人谋取利益，以明显低于市场的价格向请托人购买房产的行为，是以形式上支付一定数额的价款来掩盖其受贿权钱交易本质的一种手段，应以受贿论处，受贿数额按照涉案房产交易时当地市场价格与实际支付价格的差额计算。</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关于被告人潘玉梅及其辩护人提出潘玉梅购买许某某开发的房产，在案发前已将房产差价款给付了许某某，不应认定为受贿的辩护意见。经查，2006年4月，潘玉梅在案发前将购买许某某开发房产的差价款中的55万元补给许某某，相距2004年上半年其低价购房有近两年时间，没有及时补还巨额差价；潘玉梅的补还行为，是由于许某某因其他案件被检察机关找去谈话，检察机关从许某某的公司账上已掌握潘玉梅购房仅支付部分款项的情况后，出于掩盖罪行目的而采取的退赃行为。因此，潘玉梅为掩饰犯罪而补还房屋差价款，不影响对其受贿罪的认定。</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综上所述，被告人潘玉梅、陈宁及其辩护人提出的上述辩护意见不能成立，不予采纳。潘玉梅、陈宁作为国家工作人员，分别利用各自的职务便利，为他人谋取利益，收受他人财物的行为均已构成受贿罪，且受贿数额特别巨大，但同时鉴于二被告人均具有归案后如实供述犯罪、认罪态度好，主动交代司法机关尚未掌握的同种余罪，案发前退出部分赃款，案发后配合追缴涉案全部赃款等从轻处罚情节，故一、二审法院依法</w:t>
      </w:r>
      <w:proofErr w:type="gramStart"/>
      <w:r w:rsidRPr="00A804C2">
        <w:rPr>
          <w:rFonts w:ascii="仿宋_GB2312" w:eastAsia="仿宋_GB2312" w:hint="eastAsia"/>
          <w:sz w:val="28"/>
          <w:szCs w:val="28"/>
        </w:rPr>
        <w:t>作出</w:t>
      </w:r>
      <w:proofErr w:type="gramEnd"/>
      <w:r w:rsidRPr="00A804C2">
        <w:rPr>
          <w:rFonts w:ascii="仿宋_GB2312" w:eastAsia="仿宋_GB2312" w:hint="eastAsia"/>
          <w:sz w:val="28"/>
          <w:szCs w:val="28"/>
        </w:rPr>
        <w:t>如上裁判。</w:t>
      </w:r>
    </w:p>
    <w:p w:rsidR="00A804C2" w:rsidRPr="00A804C2" w:rsidRDefault="00A804C2" w:rsidP="00A804C2">
      <w:pPr>
        <w:spacing w:beforeLines="50" w:before="156" w:afterLines="50" w:after="156" w:line="560" w:lineRule="exact"/>
        <w:rPr>
          <w:rFonts w:ascii="黑体" w:eastAsia="黑体" w:hAnsi="黑体"/>
          <w:sz w:val="28"/>
          <w:szCs w:val="28"/>
        </w:rPr>
      </w:pPr>
      <w:r w:rsidRPr="00A804C2">
        <w:rPr>
          <w:rFonts w:ascii="黑体" w:eastAsia="黑体" w:hAnsi="黑体" w:hint="eastAsia"/>
          <w:sz w:val="28"/>
          <w:szCs w:val="28"/>
        </w:rPr>
        <w:t>指导案例4号</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王志才故意杀人案</w:t>
      </w:r>
    </w:p>
    <w:p w:rsidR="00A804C2" w:rsidRPr="00A804C2" w:rsidRDefault="00A804C2" w:rsidP="00A804C2">
      <w:pPr>
        <w:spacing w:beforeLines="50" w:before="156" w:afterLines="50" w:after="156" w:line="560" w:lineRule="exact"/>
        <w:jc w:val="center"/>
        <w:rPr>
          <w:rFonts w:ascii="仿宋_GB2312" w:eastAsia="仿宋_GB2312"/>
          <w:sz w:val="28"/>
          <w:szCs w:val="28"/>
        </w:rPr>
      </w:pPr>
      <w:r w:rsidRPr="00A804C2">
        <w:rPr>
          <w:rFonts w:ascii="仿宋_GB2312" w:eastAsia="仿宋_GB2312" w:hint="eastAsia"/>
          <w:sz w:val="28"/>
          <w:szCs w:val="28"/>
        </w:rPr>
        <w:t>（最高人民法院审判委员会讨论通过 2011年12月20日发布）</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关键词 刑事 故意杀人罪 婚恋纠纷引发 坦白悔罪</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死刑缓期执行 限制减刑</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裁判要点 </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因恋爱、婚姻矛盾激化引发的故意杀人案件，被告人犯罪手段残忍，论罪应当判处死刑，但被告人具有坦白悔罪、积极赔偿等从轻处罚情节，同时被害人亲属要求严惩的，人民法院根据案件性质、犯罪情节、危害后果和被告人的主观恶性及人身危险性，可以依法判处被告人死刑，缓期二年执行，同时决定限制减刑，以有效化解社会矛盾，促进社会和谐。</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相关法条 </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《中华人民共和国刑法》第五十条第二款</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基本案情</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被告人王志才与被害人赵某某（女，</w:t>
      </w:r>
      <w:proofErr w:type="gramStart"/>
      <w:r w:rsidRPr="00A804C2">
        <w:rPr>
          <w:rFonts w:ascii="仿宋_GB2312" w:eastAsia="仿宋_GB2312" w:hint="eastAsia"/>
          <w:sz w:val="28"/>
          <w:szCs w:val="28"/>
        </w:rPr>
        <w:t>殁年26岁</w:t>
      </w:r>
      <w:proofErr w:type="gramEnd"/>
      <w:r w:rsidRPr="00A804C2">
        <w:rPr>
          <w:rFonts w:ascii="仿宋_GB2312" w:eastAsia="仿宋_GB2312" w:hint="eastAsia"/>
          <w:sz w:val="28"/>
          <w:szCs w:val="28"/>
        </w:rPr>
        <w:t>）在山东省潍坊市科技职业学院同学期间建立恋爱关系。2005年，王志才毕业后参加工作，赵某某考入山东省曲阜师范大学继续专升本学习。2007年赵某某毕业参加工作后，王志才与赵某某商议结婚事宜，因赵某某家人不同意，赵某某多次提出分手，但在王志才的坚持下二人继续保持联系。2008年10月9日中午，王志才在赵某某的集体宿舍再次谈及婚恋问题，因赵某某明确表示二人不可能在一起，王志才感到绝望，愤而产生杀死赵某某然后自杀的念头，即持赵某某宿舍内的一把单刃尖刀，</w:t>
      </w:r>
      <w:proofErr w:type="gramStart"/>
      <w:r w:rsidRPr="00A804C2">
        <w:rPr>
          <w:rFonts w:ascii="仿宋_GB2312" w:eastAsia="仿宋_GB2312" w:hint="eastAsia"/>
          <w:sz w:val="28"/>
          <w:szCs w:val="28"/>
        </w:rPr>
        <w:t>朝赵的</w:t>
      </w:r>
      <w:proofErr w:type="gramEnd"/>
      <w:r w:rsidRPr="00A804C2">
        <w:rPr>
          <w:rFonts w:ascii="仿宋_GB2312" w:eastAsia="仿宋_GB2312" w:hint="eastAsia"/>
          <w:sz w:val="28"/>
          <w:szCs w:val="28"/>
        </w:rPr>
        <w:t>颈部、胸腹部、背部连续捅刺，致其失血性休克死亡。次日8时30分许，王志才服农药自杀未遂，被公安机关抓获归案。王志才平时表现较好，归案后如实供述自己罪行，并与其亲属积极赔偿，但未与被害人亲属达成赔偿协议。</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裁判结果</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山东省潍坊市中级人民法院于2009年10月14日以(2009) </w:t>
      </w:r>
      <w:proofErr w:type="gramStart"/>
      <w:r w:rsidRPr="00A804C2">
        <w:rPr>
          <w:rFonts w:ascii="仿宋_GB2312" w:eastAsia="仿宋_GB2312" w:hint="eastAsia"/>
          <w:sz w:val="28"/>
          <w:szCs w:val="28"/>
        </w:rPr>
        <w:t>潍</w:t>
      </w:r>
      <w:proofErr w:type="gramEnd"/>
      <w:r w:rsidRPr="00A804C2">
        <w:rPr>
          <w:rFonts w:ascii="仿宋_GB2312" w:eastAsia="仿宋_GB2312" w:hint="eastAsia"/>
          <w:sz w:val="28"/>
          <w:szCs w:val="28"/>
        </w:rPr>
        <w:t>刑</w:t>
      </w:r>
      <w:proofErr w:type="gramStart"/>
      <w:r w:rsidRPr="00A804C2">
        <w:rPr>
          <w:rFonts w:ascii="仿宋_GB2312" w:eastAsia="仿宋_GB2312" w:hint="eastAsia"/>
          <w:sz w:val="28"/>
          <w:szCs w:val="28"/>
        </w:rPr>
        <w:t>一</w:t>
      </w:r>
      <w:proofErr w:type="gramEnd"/>
      <w:r w:rsidRPr="00A804C2">
        <w:rPr>
          <w:rFonts w:ascii="仿宋_GB2312" w:eastAsia="仿宋_GB2312" w:hint="eastAsia"/>
          <w:sz w:val="28"/>
          <w:szCs w:val="28"/>
        </w:rPr>
        <w:t>初字第35号刑事判决，认定被告人王志才犯故意杀人罪，判处死刑，剥夺政治权利终身。宣判后，王志才提出上诉。山东省高级人民法院于2010年6月18日以(2010)</w:t>
      </w:r>
      <w:proofErr w:type="gramStart"/>
      <w:r w:rsidRPr="00A804C2">
        <w:rPr>
          <w:rFonts w:ascii="仿宋_GB2312" w:eastAsia="仿宋_GB2312" w:hint="eastAsia"/>
          <w:sz w:val="28"/>
          <w:szCs w:val="28"/>
        </w:rPr>
        <w:t>鲁刑四终</w:t>
      </w:r>
      <w:proofErr w:type="gramEnd"/>
      <w:r w:rsidRPr="00A804C2">
        <w:rPr>
          <w:rFonts w:ascii="仿宋_GB2312" w:eastAsia="仿宋_GB2312" w:hint="eastAsia"/>
          <w:sz w:val="28"/>
          <w:szCs w:val="28"/>
        </w:rPr>
        <w:t>字第2号刑事裁定，驳回上诉，维持原判，并依法报请最高人民法院核准。最高人民法院根据复核确认的事实，以（2010）刑三复22651920号刑事裁定，不核准被告人王志才死刑，发回山东省高级人民法院重新审判。山东省高级人民法院经依法重新审理，于2011年5月3日</w:t>
      </w:r>
      <w:proofErr w:type="gramStart"/>
      <w:r w:rsidRPr="00A804C2">
        <w:rPr>
          <w:rFonts w:ascii="仿宋_GB2312" w:eastAsia="仿宋_GB2312" w:hint="eastAsia"/>
          <w:sz w:val="28"/>
          <w:szCs w:val="28"/>
        </w:rPr>
        <w:t>作出</w:t>
      </w:r>
      <w:proofErr w:type="gramEnd"/>
      <w:r w:rsidRPr="00A804C2">
        <w:rPr>
          <w:rFonts w:ascii="仿宋_GB2312" w:eastAsia="仿宋_GB2312" w:hint="eastAsia"/>
          <w:sz w:val="28"/>
          <w:szCs w:val="28"/>
        </w:rPr>
        <w:t>（2010）</w:t>
      </w:r>
      <w:proofErr w:type="gramStart"/>
      <w:r w:rsidRPr="00A804C2">
        <w:rPr>
          <w:rFonts w:ascii="仿宋_GB2312" w:eastAsia="仿宋_GB2312" w:hint="eastAsia"/>
          <w:sz w:val="28"/>
          <w:szCs w:val="28"/>
        </w:rPr>
        <w:t>鲁刑四终</w:t>
      </w:r>
      <w:proofErr w:type="gramEnd"/>
      <w:r w:rsidRPr="00A804C2">
        <w:rPr>
          <w:rFonts w:ascii="仿宋_GB2312" w:eastAsia="仿宋_GB2312" w:hint="eastAsia"/>
          <w:sz w:val="28"/>
          <w:szCs w:val="28"/>
        </w:rPr>
        <w:t>字第2－1号刑事判决，以故意杀人罪改判被告人王志才死刑，缓期二年执行，剥夺政治权利终身，同时决定对其限制减刑。</w:t>
      </w:r>
    </w:p>
    <w:p w:rsidR="00A804C2"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裁判理由</w:t>
      </w:r>
    </w:p>
    <w:p w:rsidR="00596187" w:rsidRPr="00A804C2" w:rsidRDefault="00A804C2" w:rsidP="00A804C2">
      <w:pPr>
        <w:spacing w:beforeLines="50" w:before="156" w:afterLines="50" w:after="156" w:line="560" w:lineRule="exact"/>
        <w:rPr>
          <w:rFonts w:ascii="仿宋_GB2312" w:eastAsia="仿宋_GB2312"/>
          <w:sz w:val="28"/>
          <w:szCs w:val="28"/>
        </w:rPr>
      </w:pPr>
      <w:r w:rsidRPr="00A804C2">
        <w:rPr>
          <w:rFonts w:ascii="仿宋_GB2312" w:eastAsia="仿宋_GB2312" w:hint="eastAsia"/>
          <w:sz w:val="28"/>
          <w:szCs w:val="28"/>
        </w:rPr>
        <w:t xml:space="preserve">　  山东省高级人民法院经重新审理认为：被告人王志才的行为已构成故意杀人罪，罪行极其严重，论罪应当判处死刑。鉴于本案系因婚恋纠纷引发，王志才求婚不成，恼怒并起意杀人，归案后坦白悔罪，积极赔偿被害方经济损失，且平时表现较好，故对其判处死刑，可不立即执行。同时考虑到王志才故意杀人手段特别残忍，被害人亲属不予谅解，要求依法从严惩处，为有效化解社会矛盾，依照《中华人民共和国刑法》第五十条第二款等规定，判处被告人王志才死刑，缓期二年执行，同时决定对其限制减刑。</w:t>
      </w:r>
    </w:p>
    <w:sectPr w:rsidR="00596187" w:rsidRPr="00A804C2" w:rsidSect="00A804C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9D"/>
    <w:rsid w:val="004352CD"/>
    <w:rsid w:val="00673E01"/>
    <w:rsid w:val="00A804C2"/>
    <w:rsid w:val="00AA5A9D"/>
    <w:rsid w:val="00FF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ABA2F-70D1-4DB4-8C47-1387ED16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4C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3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3</cp:revision>
  <dcterms:created xsi:type="dcterms:W3CDTF">2016-04-19T06:47:00Z</dcterms:created>
  <dcterms:modified xsi:type="dcterms:W3CDTF">2016-04-19T06:59:00Z</dcterms:modified>
</cp:coreProperties>
</file>